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F30A" w14:textId="30D8C0D4" w:rsidR="00A57294" w:rsidRPr="00C9564D" w:rsidRDefault="005F1F35" w:rsidP="00E205FC">
      <w:pPr>
        <w:spacing w:before="120" w:after="120"/>
        <w:jc w:val="both"/>
        <w:rPr>
          <w:b/>
          <w:bCs/>
        </w:rPr>
      </w:pPr>
      <w:bookmarkStart w:id="0" w:name="_Toc12628653"/>
      <w:r w:rsidRPr="00C9564D">
        <w:rPr>
          <w:b/>
          <w:bCs/>
        </w:rPr>
        <w:t xml:space="preserve">Global guidelines for the sustainable use of non-native trees to prevent tree invasions and mitigate their negative impacts </w:t>
      </w:r>
      <w:r w:rsidR="00BF028C" w:rsidRPr="00C9564D">
        <w:rPr>
          <w:b/>
          <w:bCs/>
        </w:rPr>
        <w:t>(GG-NNTs)</w:t>
      </w:r>
      <w:r w:rsidR="003E4584" w:rsidRPr="00C9564D">
        <w:rPr>
          <w:b/>
          <w:bCs/>
        </w:rPr>
        <w:t xml:space="preserve"> </w:t>
      </w:r>
      <w:r w:rsidR="00A57294" w:rsidRPr="00C9564D">
        <w:rPr>
          <w:b/>
          <w:bCs/>
        </w:rPr>
        <w:t xml:space="preserve">Background information </w:t>
      </w:r>
      <w:bookmarkEnd w:id="0"/>
      <w:r w:rsidR="00A57294" w:rsidRPr="00C9564D">
        <w:rPr>
          <w:b/>
          <w:bCs/>
        </w:rPr>
        <w:t>(Annex to the G</w:t>
      </w:r>
      <w:r w:rsidR="00BF028C" w:rsidRPr="00C9564D">
        <w:rPr>
          <w:b/>
          <w:bCs/>
        </w:rPr>
        <w:t>G-NNTs</w:t>
      </w:r>
      <w:r w:rsidR="00A57294" w:rsidRPr="00C9564D">
        <w:rPr>
          <w:b/>
          <w:bCs/>
        </w:rPr>
        <w:t>)</w:t>
      </w:r>
    </w:p>
    <w:p w14:paraId="1A9FB587" w14:textId="77777777" w:rsidR="00A57294" w:rsidRPr="00C9564D" w:rsidRDefault="00A57294" w:rsidP="00A57294">
      <w:pPr>
        <w:spacing w:before="120" w:after="120"/>
        <w:rPr>
          <w:b/>
          <w:bCs/>
        </w:rPr>
      </w:pPr>
    </w:p>
    <w:p w14:paraId="7C03CF49" w14:textId="685DB520" w:rsidR="00A57294" w:rsidRPr="00C9564D" w:rsidRDefault="00A57294" w:rsidP="00A57294">
      <w:pPr>
        <w:spacing w:before="120" w:after="120"/>
        <w:rPr>
          <w:b/>
          <w:bCs/>
        </w:rPr>
      </w:pPr>
      <w:r w:rsidRPr="00C9564D">
        <w:rPr>
          <w:b/>
          <w:bCs/>
        </w:rPr>
        <w:t>Terms and definitions – Acronyms</w:t>
      </w:r>
    </w:p>
    <w:p w14:paraId="39341C28" w14:textId="3C10F883" w:rsidR="00A57294" w:rsidRPr="00C9564D" w:rsidRDefault="00A57294" w:rsidP="00A57294">
      <w:pPr>
        <w:spacing w:before="120" w:after="120"/>
        <w:rPr>
          <w:b/>
          <w:bCs/>
        </w:rPr>
      </w:pPr>
    </w:p>
    <w:p w14:paraId="794BAAAD" w14:textId="77777777" w:rsidR="007D15D8" w:rsidRPr="00C9564D" w:rsidRDefault="007D15D8" w:rsidP="007D15D8">
      <w:pPr>
        <w:spacing w:before="120" w:after="120"/>
      </w:pPr>
      <w:r w:rsidRPr="00C9564D">
        <w:t>NNT(s): Non-native tree(s)</w:t>
      </w:r>
    </w:p>
    <w:p w14:paraId="66DFB079" w14:textId="77777777" w:rsidR="007D15D8" w:rsidRPr="00C9564D" w:rsidRDefault="007D15D8" w:rsidP="007D15D8">
      <w:pPr>
        <w:spacing w:before="120" w:after="120"/>
      </w:pPr>
      <w:r w:rsidRPr="00C9564D">
        <w:t>INNT(s): Invasive non-native tree(s)</w:t>
      </w:r>
    </w:p>
    <w:p w14:paraId="2E81F517" w14:textId="06E72CA4" w:rsidR="007D15D8" w:rsidRPr="00C9564D" w:rsidRDefault="007D15D8" w:rsidP="007D15D8">
      <w:pPr>
        <w:spacing w:before="120" w:after="120"/>
      </w:pPr>
      <w:r w:rsidRPr="00C9564D">
        <w:t>GG-NNTs: Global Guidelines for the use of Non-</w:t>
      </w:r>
      <w:r w:rsidR="00BF028C" w:rsidRPr="00C9564D">
        <w:t>N</w:t>
      </w:r>
      <w:r w:rsidRPr="00C9564D">
        <w:t xml:space="preserve">ative </w:t>
      </w:r>
      <w:r w:rsidR="00BF028C" w:rsidRPr="00C9564D">
        <w:t>T</w:t>
      </w:r>
      <w:r w:rsidRPr="00C9564D">
        <w:t>rees</w:t>
      </w:r>
    </w:p>
    <w:p w14:paraId="6ACFE252" w14:textId="77777777" w:rsidR="003A3BDF" w:rsidRPr="00C9564D" w:rsidRDefault="003A3BDF" w:rsidP="007D15D8">
      <w:pPr>
        <w:spacing w:before="120" w:after="120"/>
        <w:rPr>
          <w:color w:val="000000" w:themeColor="text1"/>
        </w:rPr>
      </w:pPr>
      <w:r w:rsidRPr="00C9564D">
        <w:rPr>
          <w:color w:val="000000" w:themeColor="text1"/>
        </w:rPr>
        <w:t>AFR100: African Forest Landscape Restoration Initiative</w:t>
      </w:r>
    </w:p>
    <w:p w14:paraId="442A4E90" w14:textId="77777777" w:rsidR="003A3BDF" w:rsidRPr="00C9564D" w:rsidRDefault="003A3BDF" w:rsidP="007D15D8">
      <w:pPr>
        <w:spacing w:before="120" w:after="120"/>
      </w:pPr>
      <w:r w:rsidRPr="00C9564D">
        <w:t xml:space="preserve">CABI: Centre for Agriculture and Bioscience International </w:t>
      </w:r>
    </w:p>
    <w:p w14:paraId="2614BE02" w14:textId="77777777" w:rsidR="003A3BDF" w:rsidRPr="00C9564D" w:rsidRDefault="003A3BDF" w:rsidP="007D15D8">
      <w:pPr>
        <w:spacing w:before="120" w:after="120"/>
        <w:rPr>
          <w:color w:val="000000" w:themeColor="text1"/>
        </w:rPr>
      </w:pPr>
      <w:r w:rsidRPr="00C9564D">
        <w:rPr>
          <w:color w:val="000000" w:themeColor="text1"/>
        </w:rPr>
        <w:t>CBD: Convention on Biological Diversity</w:t>
      </w:r>
    </w:p>
    <w:p w14:paraId="04CA2873" w14:textId="77777777" w:rsidR="003A3BDF" w:rsidRPr="00C9564D" w:rsidRDefault="003A3BDF" w:rsidP="00A57294">
      <w:pPr>
        <w:spacing w:before="120" w:after="120"/>
        <w:rPr>
          <w:b/>
          <w:bCs/>
        </w:rPr>
      </w:pPr>
      <w:r w:rsidRPr="00C9564D">
        <w:t>COMIFAC: Commission des Forêts d’Afrique Centrale</w:t>
      </w:r>
    </w:p>
    <w:p w14:paraId="5A7E6F76" w14:textId="77777777" w:rsidR="003A3BDF" w:rsidRPr="00C9564D" w:rsidRDefault="003A3BDF" w:rsidP="007D15D8">
      <w:pPr>
        <w:spacing w:before="120" w:after="120"/>
        <w:rPr>
          <w:color w:val="000000" w:themeColor="text1"/>
        </w:rPr>
      </w:pPr>
      <w:r w:rsidRPr="00C9564D">
        <w:rPr>
          <w:color w:val="000000" w:themeColor="text1"/>
        </w:rPr>
        <w:t>COP: Conference of the Parties</w:t>
      </w:r>
    </w:p>
    <w:p w14:paraId="05D44833" w14:textId="65367F13" w:rsidR="00D62E99" w:rsidRPr="00C9564D" w:rsidRDefault="00D62E99" w:rsidP="007D15D8">
      <w:pPr>
        <w:spacing w:before="120" w:after="120"/>
        <w:rPr>
          <w:color w:val="000000" w:themeColor="text1"/>
        </w:rPr>
      </w:pPr>
      <w:r w:rsidRPr="00C9564D">
        <w:rPr>
          <w:color w:val="000000" w:themeColor="text1"/>
        </w:rPr>
        <w:t>CPM</w:t>
      </w:r>
      <w:r w:rsidR="001111C2" w:rsidRPr="00C9564D">
        <w:rPr>
          <w:color w:val="000000" w:themeColor="text1"/>
        </w:rPr>
        <w:t>: Commission on Phytosanitary Measures</w:t>
      </w:r>
    </w:p>
    <w:p w14:paraId="3F86D7BC" w14:textId="26221D8C" w:rsidR="003A3BDF" w:rsidRPr="00C9564D" w:rsidRDefault="003A3BDF" w:rsidP="007D15D8">
      <w:pPr>
        <w:spacing w:before="120" w:after="120"/>
        <w:rPr>
          <w:color w:val="000000" w:themeColor="text1"/>
        </w:rPr>
      </w:pPr>
      <w:r w:rsidRPr="00C9564D">
        <w:rPr>
          <w:color w:val="000000" w:themeColor="text1"/>
        </w:rPr>
        <w:t>DSS: Decision Support System</w:t>
      </w:r>
    </w:p>
    <w:p w14:paraId="330F2748" w14:textId="77777777" w:rsidR="003A3BDF" w:rsidRPr="00C9564D" w:rsidRDefault="003A3BDF" w:rsidP="007D15D8">
      <w:pPr>
        <w:spacing w:before="120" w:after="120"/>
      </w:pPr>
      <w:r w:rsidRPr="00C9564D">
        <w:rPr>
          <w:color w:val="000000" w:themeColor="text1"/>
        </w:rPr>
        <w:t>EDRR: Early Detection and Rapid Response</w:t>
      </w:r>
    </w:p>
    <w:p w14:paraId="6762C2C8" w14:textId="77777777" w:rsidR="003A3BDF" w:rsidRPr="00C9564D" w:rsidRDefault="003A3BDF" w:rsidP="007D15D8">
      <w:pPr>
        <w:spacing w:before="120" w:after="120"/>
      </w:pPr>
      <w:r w:rsidRPr="00C9564D">
        <w:rPr>
          <w:color w:val="000000" w:themeColor="text1"/>
        </w:rPr>
        <w:t>EICAT: Environmental Impact Classiﬁcation for Alien Taxa</w:t>
      </w:r>
    </w:p>
    <w:p w14:paraId="52D75363" w14:textId="77777777" w:rsidR="003A3BDF" w:rsidRPr="00C9564D" w:rsidRDefault="003A3BDF" w:rsidP="007D15D8">
      <w:pPr>
        <w:spacing w:before="120" w:after="120"/>
      </w:pPr>
      <w:r w:rsidRPr="00C9564D">
        <w:t>ENFIN: European National Forest Inventory Network</w:t>
      </w:r>
    </w:p>
    <w:p w14:paraId="29A6E9EA" w14:textId="77777777" w:rsidR="003A3BDF" w:rsidRPr="00C9564D" w:rsidRDefault="003A3BDF" w:rsidP="007D15D8">
      <w:pPr>
        <w:spacing w:before="120" w:after="120"/>
        <w:rPr>
          <w:color w:val="000000" w:themeColor="text1"/>
        </w:rPr>
      </w:pPr>
      <w:r w:rsidRPr="00C9564D">
        <w:rPr>
          <w:color w:val="000000" w:themeColor="text1"/>
        </w:rPr>
        <w:t>EPPO: European and Mediterranean Plant Protection Organization</w:t>
      </w:r>
    </w:p>
    <w:p w14:paraId="03686D89" w14:textId="77777777" w:rsidR="003A3BDF" w:rsidRPr="00C9564D" w:rsidRDefault="003A3BDF" w:rsidP="007D15D8">
      <w:pPr>
        <w:spacing w:before="120" w:after="120"/>
        <w:rPr>
          <w:color w:val="000000" w:themeColor="text1"/>
        </w:rPr>
      </w:pPr>
      <w:r w:rsidRPr="00C9564D">
        <w:rPr>
          <w:color w:val="000000" w:themeColor="text1"/>
        </w:rPr>
        <w:t>EU: European Union</w:t>
      </w:r>
    </w:p>
    <w:p w14:paraId="583EC4BC" w14:textId="4CCA61A6" w:rsidR="003A3BDF" w:rsidRPr="00C9564D" w:rsidRDefault="003A3BDF" w:rsidP="007D15D8">
      <w:pPr>
        <w:spacing w:before="120" w:after="120"/>
      </w:pPr>
      <w:r w:rsidRPr="00C9564D">
        <w:t>FAO: Food and Agriculture Organization of the United Nations</w:t>
      </w:r>
    </w:p>
    <w:p w14:paraId="0B10F486" w14:textId="5EDA8516" w:rsidR="007974A3" w:rsidRPr="00C9564D" w:rsidRDefault="007974A3" w:rsidP="007D15D8">
      <w:pPr>
        <w:spacing w:before="120" w:after="120"/>
      </w:pPr>
      <w:r w:rsidRPr="00C9564D">
        <w:t>FRA:</w:t>
      </w:r>
      <w:r w:rsidR="001111C2" w:rsidRPr="00C9564D">
        <w:t xml:space="preserve"> Global Forest Resources Assessment (FAO FRA)</w:t>
      </w:r>
    </w:p>
    <w:p w14:paraId="7B0E4153" w14:textId="240B83A4" w:rsidR="003A3BDF" w:rsidRPr="00C9564D" w:rsidRDefault="003A3BDF" w:rsidP="007D15D8">
      <w:pPr>
        <w:spacing w:before="120" w:after="120"/>
        <w:rPr>
          <w:color w:val="000000" w:themeColor="text1"/>
        </w:rPr>
      </w:pPr>
      <w:r w:rsidRPr="00C9564D">
        <w:rPr>
          <w:color w:val="000000" w:themeColor="text1"/>
        </w:rPr>
        <w:t>FSC: Forest Stewardship Council</w:t>
      </w:r>
    </w:p>
    <w:p w14:paraId="3EF4130F" w14:textId="01B6A4E2" w:rsidR="00544BF6" w:rsidRPr="00C9564D" w:rsidRDefault="00544BF6" w:rsidP="007D15D8">
      <w:pPr>
        <w:spacing w:before="120" w:after="120"/>
        <w:rPr>
          <w:color w:val="000000" w:themeColor="text1"/>
        </w:rPr>
      </w:pPr>
      <w:r w:rsidRPr="00C9564D">
        <w:rPr>
          <w:color w:val="000000" w:themeColor="text1"/>
        </w:rPr>
        <w:t>GG-NNT</w:t>
      </w:r>
      <w:r w:rsidR="001111C2" w:rsidRPr="00C9564D">
        <w:rPr>
          <w:color w:val="000000" w:themeColor="text1"/>
        </w:rPr>
        <w:t>: Global Guidelines on Non-native Trees</w:t>
      </w:r>
    </w:p>
    <w:p w14:paraId="68C5E758" w14:textId="1BFC73D2" w:rsidR="001E1309" w:rsidRPr="00C9564D" w:rsidRDefault="001E1309" w:rsidP="007D15D8">
      <w:pPr>
        <w:spacing w:before="120" w:after="120"/>
        <w:rPr>
          <w:color w:val="000000" w:themeColor="text1"/>
        </w:rPr>
      </w:pPr>
      <w:r w:rsidRPr="00C9564D">
        <w:rPr>
          <w:color w:val="000000" w:themeColor="text1"/>
        </w:rPr>
        <w:t>IPPC: International Plant Protection Convention</w:t>
      </w:r>
    </w:p>
    <w:p w14:paraId="6CED15F8" w14:textId="38455FAC" w:rsidR="003A3BDF" w:rsidRPr="00C9564D" w:rsidRDefault="003A3BDF" w:rsidP="007D15D8">
      <w:pPr>
        <w:spacing w:before="120" w:after="120"/>
        <w:rPr>
          <w:color w:val="000000" w:themeColor="text1"/>
        </w:rPr>
      </w:pPr>
      <w:r w:rsidRPr="00C9564D">
        <w:rPr>
          <w:color w:val="000000" w:themeColor="text1"/>
        </w:rPr>
        <w:t>IPSN: International Plant Sentinel Network</w:t>
      </w:r>
    </w:p>
    <w:p w14:paraId="58742139" w14:textId="5BE43E5A" w:rsidR="001E1309" w:rsidRPr="00C9564D" w:rsidRDefault="001E1309" w:rsidP="007D15D8">
      <w:pPr>
        <w:spacing w:before="120" w:after="120"/>
        <w:rPr>
          <w:color w:val="000000" w:themeColor="text1"/>
        </w:rPr>
      </w:pPr>
      <w:r w:rsidRPr="00C9564D">
        <w:rPr>
          <w:color w:val="000000" w:themeColor="text1"/>
        </w:rPr>
        <w:t>ISPM(s): International Standards for Phytosanitary Measures</w:t>
      </w:r>
    </w:p>
    <w:p w14:paraId="5E70BF02" w14:textId="77777777" w:rsidR="003A3BDF" w:rsidRPr="00C9564D" w:rsidRDefault="003A3BDF" w:rsidP="007D15D8">
      <w:pPr>
        <w:spacing w:before="120" w:after="120"/>
        <w:rPr>
          <w:color w:val="000000" w:themeColor="text1"/>
        </w:rPr>
      </w:pPr>
      <w:r w:rsidRPr="00C9564D">
        <w:rPr>
          <w:color w:val="000000" w:themeColor="text1"/>
        </w:rPr>
        <w:t>IUCN: International Union for Conservation of Nature</w:t>
      </w:r>
    </w:p>
    <w:p w14:paraId="265C8991" w14:textId="77777777" w:rsidR="003A3BDF" w:rsidRPr="00C9564D" w:rsidRDefault="003A3BDF" w:rsidP="007D15D8">
      <w:pPr>
        <w:spacing w:before="120" w:after="120"/>
        <w:rPr>
          <w:color w:val="000000" w:themeColor="text1"/>
        </w:rPr>
      </w:pPr>
      <w:r w:rsidRPr="00C9564D">
        <w:rPr>
          <w:color w:val="000000" w:themeColor="text1"/>
        </w:rPr>
        <w:t>NGOs: Non-Governmental Organizations</w:t>
      </w:r>
    </w:p>
    <w:p w14:paraId="47165159" w14:textId="77777777" w:rsidR="003A3BDF" w:rsidRPr="00C9564D" w:rsidRDefault="003A3BDF" w:rsidP="007D15D8">
      <w:pPr>
        <w:spacing w:before="120" w:after="120"/>
        <w:rPr>
          <w:color w:val="000000" w:themeColor="text1"/>
        </w:rPr>
      </w:pPr>
      <w:r w:rsidRPr="00C9564D">
        <w:rPr>
          <w:color w:val="000000" w:themeColor="text1"/>
        </w:rPr>
        <w:t>NPPOs: National Plant Protection Organisations</w:t>
      </w:r>
    </w:p>
    <w:p w14:paraId="3E3B9CB9" w14:textId="77777777" w:rsidR="003A3BDF" w:rsidRPr="00C9564D" w:rsidRDefault="003A3BDF" w:rsidP="007D15D8">
      <w:pPr>
        <w:spacing w:before="120" w:after="120"/>
      </w:pPr>
      <w:r w:rsidRPr="00C9564D">
        <w:t>OFAC: Observatoire des Forêts d’Afrique Centrale</w:t>
      </w:r>
    </w:p>
    <w:p w14:paraId="0FF8336F" w14:textId="77777777" w:rsidR="003A3BDF" w:rsidRPr="00C9564D" w:rsidRDefault="003A3BDF" w:rsidP="007D15D8">
      <w:pPr>
        <w:spacing w:before="120" w:after="120"/>
        <w:rPr>
          <w:color w:val="000000" w:themeColor="text1"/>
        </w:rPr>
      </w:pPr>
      <w:r w:rsidRPr="00C9564D">
        <w:rPr>
          <w:color w:val="000000" w:themeColor="text1"/>
        </w:rPr>
        <w:t>PEFC: Programme for the Endorsement of Forest Certification schemes</w:t>
      </w:r>
    </w:p>
    <w:p w14:paraId="3FD9F514" w14:textId="77777777" w:rsidR="003A3BDF" w:rsidRPr="00C9564D" w:rsidRDefault="003A3BDF" w:rsidP="007D15D8">
      <w:pPr>
        <w:spacing w:before="120" w:after="120"/>
        <w:rPr>
          <w:color w:val="000000" w:themeColor="text1"/>
        </w:rPr>
      </w:pPr>
      <w:r w:rsidRPr="00C9564D">
        <w:rPr>
          <w:color w:val="000000" w:themeColor="text1"/>
        </w:rPr>
        <w:t>PEOLG: Pan European Operational Level Guidelines</w:t>
      </w:r>
    </w:p>
    <w:p w14:paraId="279BCC3F" w14:textId="77777777" w:rsidR="003A3BDF" w:rsidRPr="00C9564D" w:rsidRDefault="003A3BDF" w:rsidP="007D15D8">
      <w:pPr>
        <w:spacing w:before="120" w:after="120"/>
        <w:jc w:val="both"/>
        <w:rPr>
          <w:color w:val="000000" w:themeColor="text1"/>
        </w:rPr>
      </w:pPr>
      <w:r w:rsidRPr="00C9564D">
        <w:rPr>
          <w:color w:val="000000" w:themeColor="text1"/>
        </w:rPr>
        <w:lastRenderedPageBreak/>
        <w:t xml:space="preserve">PIER: Pacific Island Ecosystems at Risk </w:t>
      </w:r>
    </w:p>
    <w:p w14:paraId="1EF74768" w14:textId="77777777" w:rsidR="003A3BDF" w:rsidRPr="00C9564D" w:rsidRDefault="003A3BDF" w:rsidP="007D15D8">
      <w:pPr>
        <w:spacing w:before="120" w:after="120"/>
        <w:rPr>
          <w:color w:val="000000" w:themeColor="text1"/>
        </w:rPr>
      </w:pPr>
      <w:r w:rsidRPr="00C9564D">
        <w:rPr>
          <w:color w:val="000000" w:themeColor="text1"/>
        </w:rPr>
        <w:t>PRA: Pest Risk Analysis</w:t>
      </w:r>
    </w:p>
    <w:p w14:paraId="619883DD" w14:textId="76861944" w:rsidR="007974A3" w:rsidRPr="00C9564D" w:rsidRDefault="007974A3" w:rsidP="007D15D8">
      <w:pPr>
        <w:spacing w:before="120" w:after="120"/>
        <w:rPr>
          <w:color w:val="000000" w:themeColor="text1"/>
        </w:rPr>
      </w:pPr>
      <w:r w:rsidRPr="00C9564D">
        <w:rPr>
          <w:color w:val="000000" w:themeColor="text1"/>
        </w:rPr>
        <w:t>REDD+</w:t>
      </w:r>
      <w:r w:rsidR="001111C2" w:rsidRPr="00C9564D">
        <w:rPr>
          <w:color w:val="000000" w:themeColor="text1"/>
        </w:rPr>
        <w:t>: Reducing Emissions from Deforestations and Forest Degradation in Developing Countries</w:t>
      </w:r>
    </w:p>
    <w:p w14:paraId="75CB78E3" w14:textId="77462993" w:rsidR="00F255C1" w:rsidRPr="00C9564D" w:rsidRDefault="00F255C1" w:rsidP="007D15D8">
      <w:pPr>
        <w:spacing w:before="120" w:after="120"/>
        <w:rPr>
          <w:color w:val="000000" w:themeColor="text1"/>
        </w:rPr>
      </w:pPr>
      <w:r w:rsidRPr="00C9564D">
        <w:rPr>
          <w:color w:val="000000" w:themeColor="text1"/>
        </w:rPr>
        <w:t>SBSTTA</w:t>
      </w:r>
      <w:r w:rsidR="001111C2" w:rsidRPr="00C9564D">
        <w:rPr>
          <w:color w:val="000000" w:themeColor="text1"/>
        </w:rPr>
        <w:t>: Subsidiary Body on Scientific, Technical and Technological Advice (CBD SBSTTA)</w:t>
      </w:r>
    </w:p>
    <w:p w14:paraId="0F7B354E" w14:textId="1CC55165" w:rsidR="003A3BDF" w:rsidRPr="00C9564D" w:rsidRDefault="003A3BDF" w:rsidP="007D15D8">
      <w:pPr>
        <w:spacing w:before="120" w:after="120"/>
        <w:rPr>
          <w:color w:val="000000" w:themeColor="text1"/>
        </w:rPr>
      </w:pPr>
      <w:r w:rsidRPr="00C9564D">
        <w:rPr>
          <w:color w:val="000000" w:themeColor="text1"/>
        </w:rPr>
        <w:t>SFM: Sustainable forest management</w:t>
      </w:r>
    </w:p>
    <w:p w14:paraId="04B8A09F" w14:textId="77777777" w:rsidR="003A3BDF" w:rsidRPr="00C9564D" w:rsidRDefault="003A3BDF" w:rsidP="007D15D8">
      <w:pPr>
        <w:spacing w:before="120" w:after="120"/>
        <w:rPr>
          <w:color w:val="000000" w:themeColor="text1"/>
        </w:rPr>
      </w:pPr>
      <w:r w:rsidRPr="00C9564D">
        <w:rPr>
          <w:color w:val="000000" w:themeColor="text1"/>
        </w:rPr>
        <w:t>SRC: Short Rotation Coppice</w:t>
      </w:r>
    </w:p>
    <w:p w14:paraId="39F6987A" w14:textId="77777777" w:rsidR="003A3BDF" w:rsidRPr="00C9564D" w:rsidRDefault="003A3BDF" w:rsidP="007D15D8">
      <w:pPr>
        <w:spacing w:before="120" w:after="120"/>
        <w:rPr>
          <w:color w:val="000000" w:themeColor="text1"/>
        </w:rPr>
      </w:pPr>
      <w:r w:rsidRPr="00C9564D">
        <w:rPr>
          <w:color w:val="000000" w:themeColor="text1"/>
        </w:rPr>
        <w:t>SRF: Short Rotation Forestry</w:t>
      </w:r>
    </w:p>
    <w:p w14:paraId="44445A4F" w14:textId="77777777" w:rsidR="003A3BDF" w:rsidRPr="00C9564D" w:rsidRDefault="003A3BDF" w:rsidP="007D15D8">
      <w:pPr>
        <w:spacing w:before="120" w:after="120"/>
        <w:jc w:val="both"/>
        <w:rPr>
          <w:color w:val="000000" w:themeColor="text1"/>
        </w:rPr>
      </w:pPr>
      <w:r w:rsidRPr="00C9564D">
        <w:rPr>
          <w:color w:val="000000" w:themeColor="text1"/>
        </w:rPr>
        <w:t>UF/IFAS: University of Florida/Institute of Food and Agricultural Sciences</w:t>
      </w:r>
    </w:p>
    <w:p w14:paraId="0D496850" w14:textId="77777777" w:rsidR="003A3BDF" w:rsidRPr="00C9564D" w:rsidRDefault="003A3BDF" w:rsidP="007D15D8">
      <w:pPr>
        <w:spacing w:before="120" w:after="120"/>
        <w:rPr>
          <w:color w:val="000000" w:themeColor="text1"/>
        </w:rPr>
      </w:pPr>
      <w:r w:rsidRPr="00C9564D">
        <w:rPr>
          <w:color w:val="000000" w:themeColor="text1"/>
        </w:rPr>
        <w:t>UN SDGs: United Nations Sustainable Development Goals</w:t>
      </w:r>
    </w:p>
    <w:p w14:paraId="54336FD8" w14:textId="77777777" w:rsidR="003A3BDF" w:rsidRPr="00C9564D" w:rsidRDefault="003A3BDF" w:rsidP="007D15D8">
      <w:pPr>
        <w:spacing w:before="120" w:after="120"/>
        <w:rPr>
          <w:color w:val="000000" w:themeColor="text1"/>
        </w:rPr>
      </w:pPr>
      <w:r w:rsidRPr="00C9564D">
        <w:rPr>
          <w:color w:val="000000" w:themeColor="text1"/>
        </w:rPr>
        <w:t>UN: United Nations</w:t>
      </w:r>
    </w:p>
    <w:p w14:paraId="5456A6CE" w14:textId="77777777" w:rsidR="003A3BDF" w:rsidRPr="00C9564D" w:rsidRDefault="003A3BDF" w:rsidP="007D15D8">
      <w:pPr>
        <w:spacing w:before="120" w:after="120"/>
        <w:rPr>
          <w:color w:val="000000" w:themeColor="text1"/>
        </w:rPr>
      </w:pPr>
      <w:r w:rsidRPr="00C9564D">
        <w:rPr>
          <w:color w:val="000000" w:themeColor="text1"/>
        </w:rPr>
        <w:t>UNCED: United Nations Conference on Environment and Development</w:t>
      </w:r>
    </w:p>
    <w:p w14:paraId="1B4A17E9" w14:textId="77777777" w:rsidR="003A3BDF" w:rsidRPr="00C9564D" w:rsidRDefault="003A3BDF" w:rsidP="007D15D8">
      <w:pPr>
        <w:spacing w:before="120" w:after="120"/>
        <w:rPr>
          <w:color w:val="000000" w:themeColor="text1"/>
        </w:rPr>
      </w:pPr>
      <w:r w:rsidRPr="00C9564D">
        <w:rPr>
          <w:color w:val="000000" w:themeColor="text1"/>
        </w:rPr>
        <w:t>UNFCC: United Nations Framework Convention on Climate Change</w:t>
      </w:r>
    </w:p>
    <w:p w14:paraId="04840EC7" w14:textId="77777777" w:rsidR="003A3BDF" w:rsidRPr="00C9564D" w:rsidRDefault="003A3BDF" w:rsidP="007D15D8">
      <w:pPr>
        <w:spacing w:before="120" w:after="120"/>
        <w:jc w:val="both"/>
        <w:rPr>
          <w:color w:val="000000" w:themeColor="text1"/>
        </w:rPr>
      </w:pPr>
      <w:r w:rsidRPr="00C9564D">
        <w:rPr>
          <w:color w:val="000000" w:themeColor="text1"/>
        </w:rPr>
        <w:t>USDA APHIS: United States Department of Agriculture – Animal and Plant Health Inspection Service</w:t>
      </w:r>
    </w:p>
    <w:p w14:paraId="69BB673F" w14:textId="77777777" w:rsidR="007D15D8" w:rsidRPr="00C9564D" w:rsidRDefault="007D15D8" w:rsidP="00A57294">
      <w:pPr>
        <w:spacing w:before="120" w:after="120"/>
        <w:rPr>
          <w:b/>
          <w:bCs/>
        </w:rPr>
      </w:pPr>
    </w:p>
    <w:p w14:paraId="1F28EF18" w14:textId="77777777" w:rsidR="00A57294" w:rsidRPr="00C9564D" w:rsidRDefault="00A57294" w:rsidP="00A57294">
      <w:pPr>
        <w:spacing w:before="120" w:after="120"/>
        <w:rPr>
          <w:b/>
          <w:bCs/>
        </w:rPr>
      </w:pPr>
      <w:r w:rsidRPr="00C9564D">
        <w:rPr>
          <w:b/>
          <w:bCs/>
        </w:rPr>
        <w:t>Invasion debt</w:t>
      </w:r>
    </w:p>
    <w:p w14:paraId="006926EB" w14:textId="2920BB82" w:rsidR="00A57294" w:rsidRPr="00C9564D" w:rsidRDefault="00A57294" w:rsidP="00A57294">
      <w:pPr>
        <w:spacing w:before="120" w:after="120"/>
        <w:jc w:val="both"/>
      </w:pPr>
      <w:r w:rsidRPr="00C9564D">
        <w:t xml:space="preserve">According to </w:t>
      </w:r>
      <w:r w:rsidR="00A94389" w:rsidRPr="003B2822">
        <w:fldChar w:fldCharType="begin"/>
      </w:r>
      <w:r w:rsidR="000324E0" w:rsidRPr="00C9564D">
        <w:instrText xml:space="preserve"> ADDIN ZOTERO_ITEM CSL_CITATION {"citationID":"ZyjXZZHX","properties":{"formattedCitation":"(Rouget et al. 2016)","plainCitation":"(Rouget et al. 2016)","dontUpdate":true,"noteIndex":0},"citationItems":[{"id":180,"uris":["http://zotero.org/users/6602900/items/ANHMG639"],"uri":["http://zotero.org/users/6602900/items/ANHMG639"],"itemData":{"id":180,"type":"article-journal","abstract":"Abstract Aim We develop a framework for quantifying invasions based on lagged trends in invasions (?invasion debt?) with the aim of identifying appropriate metrics to quantify delayed responses at different invasion stages ? from introduction to when environmental impacts occur. Location World-wide; detailed case study in South Africa. Methods We define four components of invasion debt: the number of species not yet introduced but likely to be introduced in the future given current levels of introduction/propagule pressure; the establishment of introduced species; the potential increase in area invaded by established species (including invasive species); and the potential increase in impacts. We demonstrate the approach in terms of number of species for 21 known invasive Australian Acacia species globally and estimate three components of invasion debt for 58 Acacia species already introduced to South Africa by quantifying key invasion factors (environmental suitability, species invasion status, residence time, propagule pressure, spread rate and impacts). Results Current global patterns of invasive species richness reflect historical trends of introduction ? most acacia species that will become invasive in southern Africa have already invaded, but there is a substantial establishment debt in South and North America. In South Africa, the likely consequence of invasion debt over the next 20 years was estimated at: four additional species becoming invasive with an average increase of 1075 km2 invaded area per invasive species. We estimate that this would require over US$ 500 million to clear. Main conclusions Our results indicate that invasion debt is a valuable metric for reporting on the threats attributable to biological invasions, that invasion debt must be factored into strategic plans for managing global change, and, as with other studies, they highlight the value of proactive management. Given the uncertainty associated with biological invasions, further work is required to quantify the different components of invasion debt.","container-title":"Diversity and Distributions","DOI":"10.1111/ddi.12408","ISSN":"1366-9516","issue":"4","journalAbbreviation":"Diversity and Distributions","note":"publisher: John Wiley &amp; Sons, Ltd","page":"445-456","title":"Invasion debt – quantifying future biological invasions","volume":"22","author":[{"family":"Rouget","given":"Mathieu"},{"family":"Robertson","given":"Mark P."},{"family":"Wilson","given":"John R. U."},{"family":"Hui","given":"Cang"},{"family":"Essl","given":"Franz"},{"family":"Renteria","given":"Jorge L."},{"family":"Richardson","given":"David M."}],"issued":{"date-parts":[["2016",4,1]]}}}],"schema":"https://github.com/citation-style-language/schema/raw/master/csl-citation.json"} </w:instrText>
      </w:r>
      <w:r w:rsidR="00A94389" w:rsidRPr="003B2822">
        <w:fldChar w:fldCharType="separate"/>
      </w:r>
      <w:r w:rsidR="00A94389" w:rsidRPr="00C9564D">
        <w:t>Rouget et al. (2016)</w:t>
      </w:r>
      <w:r w:rsidR="00A94389" w:rsidRPr="003B2822">
        <w:fldChar w:fldCharType="end"/>
      </w:r>
      <w:r w:rsidRPr="00C9564D">
        <w:t xml:space="preserve"> invasion debt has four main components: (1) the number of species not yet introduced but </w:t>
      </w:r>
      <w:r w:rsidR="003751A9" w:rsidRPr="00C9564D">
        <w:t xml:space="preserve">that will be </w:t>
      </w:r>
      <w:r w:rsidRPr="00C9564D">
        <w:t xml:space="preserve">introduced in future given current levels of introduction/propagule pressure; (2) the </w:t>
      </w:r>
      <w:r w:rsidR="003751A9" w:rsidRPr="00C9564D">
        <w:t xml:space="preserve">number of </w:t>
      </w:r>
      <w:r w:rsidRPr="00C9564D">
        <w:t>introduced species</w:t>
      </w:r>
      <w:r w:rsidR="003751A9" w:rsidRPr="00C9564D">
        <w:t xml:space="preserve"> that are not currently established but that will establish in future</w:t>
      </w:r>
      <w:r w:rsidRPr="00C9564D">
        <w:t xml:space="preserve">; (3) the area </w:t>
      </w:r>
      <w:r w:rsidR="003751A9" w:rsidRPr="00C9564D">
        <w:t>that will become invaded in future if invasions are not managed</w:t>
      </w:r>
      <w:r w:rsidRPr="00C9564D">
        <w:t xml:space="preserve">; </w:t>
      </w:r>
      <w:r w:rsidR="003751A9" w:rsidRPr="00C9564D">
        <w:t xml:space="preserve">and </w:t>
      </w:r>
      <w:r w:rsidRPr="00C9564D">
        <w:t xml:space="preserve">(4) the increase in </w:t>
      </w:r>
      <w:r w:rsidR="003751A9" w:rsidRPr="00C9564D">
        <w:t xml:space="preserve">the severity of </w:t>
      </w:r>
      <w:r w:rsidRPr="00C9564D">
        <w:t>impacts</w:t>
      </w:r>
      <w:r w:rsidR="003751A9" w:rsidRPr="00C9564D">
        <w:t xml:space="preserve"> if no mitigation methods are implemented</w:t>
      </w:r>
      <w:r w:rsidRPr="00C9564D">
        <w:t>. These authors suggest that invasion debt is a valuable metric for reporting on the threats attributable to biological invasions</w:t>
      </w:r>
      <w:r w:rsidR="00E813D3" w:rsidRPr="00C9564D">
        <w:t>. Invasion debt</w:t>
      </w:r>
      <w:r w:rsidRPr="00C9564D">
        <w:t xml:space="preserve"> must be factored into strategic plans for managing global change, </w:t>
      </w:r>
      <w:r w:rsidR="003751A9" w:rsidRPr="00C9564D">
        <w:t>and that it provides a counter</w:t>
      </w:r>
      <w:r w:rsidR="00E813D3" w:rsidRPr="00C9564D">
        <w:t>-</w:t>
      </w:r>
      <w:r w:rsidR="003751A9" w:rsidRPr="00C9564D">
        <w:t xml:space="preserve">factual </w:t>
      </w:r>
      <w:r w:rsidR="00E813D3" w:rsidRPr="00C9564D">
        <w:t xml:space="preserve">argument </w:t>
      </w:r>
      <w:r w:rsidR="003751A9" w:rsidRPr="00C9564D">
        <w:t xml:space="preserve">against which to measure the success of a management or policy intervention (and </w:t>
      </w:r>
      <w:r w:rsidRPr="00C9564D">
        <w:t>as with other studies</w:t>
      </w:r>
      <w:r w:rsidR="003751A9" w:rsidRPr="00C9564D">
        <w:t xml:space="preserve"> it tends to </w:t>
      </w:r>
      <w:r w:rsidRPr="00C9564D">
        <w:t>highlight the value of proactive management</w:t>
      </w:r>
      <w:r w:rsidR="003751A9" w:rsidRPr="00C9564D">
        <w:t>)</w:t>
      </w:r>
      <w:r w:rsidRPr="00C9564D">
        <w:t>. However, given the uncertainty associated with biological invasions, further work is required to quantify the different components of invasion debt.</w:t>
      </w:r>
    </w:p>
    <w:p w14:paraId="5D06A584" w14:textId="77777777" w:rsidR="00A57294" w:rsidRPr="00C9564D" w:rsidRDefault="00A57294" w:rsidP="00A57294">
      <w:pPr>
        <w:spacing w:before="120" w:after="120"/>
        <w:rPr>
          <w:b/>
          <w:bCs/>
        </w:rPr>
      </w:pPr>
    </w:p>
    <w:p w14:paraId="63088FDF" w14:textId="51083A3A" w:rsidR="00A57294" w:rsidRPr="00C9564D" w:rsidRDefault="00A57294" w:rsidP="00A57294">
      <w:pPr>
        <w:spacing w:before="120" w:after="120"/>
        <w:rPr>
          <w:b/>
          <w:bCs/>
        </w:rPr>
      </w:pPr>
      <w:r w:rsidRPr="00C9564D">
        <w:rPr>
          <w:b/>
          <w:bCs/>
        </w:rPr>
        <w:t>Non-</w:t>
      </w:r>
      <w:r w:rsidR="00A94389" w:rsidRPr="00C9564D">
        <w:rPr>
          <w:b/>
          <w:bCs/>
        </w:rPr>
        <w:t>N</w:t>
      </w:r>
      <w:r w:rsidRPr="00C9564D">
        <w:rPr>
          <w:b/>
          <w:bCs/>
        </w:rPr>
        <w:t xml:space="preserve">ative </w:t>
      </w:r>
      <w:r w:rsidR="00A94389" w:rsidRPr="00C9564D">
        <w:rPr>
          <w:b/>
          <w:bCs/>
        </w:rPr>
        <w:t>T</w:t>
      </w:r>
      <w:r w:rsidRPr="00C9564D">
        <w:rPr>
          <w:b/>
          <w:bCs/>
        </w:rPr>
        <w:t>ree (NNT)</w:t>
      </w:r>
    </w:p>
    <w:p w14:paraId="5A843AD9" w14:textId="64429E25" w:rsidR="00A57294" w:rsidRPr="00C9564D" w:rsidRDefault="00A57294" w:rsidP="00A57294">
      <w:pPr>
        <w:spacing w:before="120" w:after="120"/>
      </w:pPr>
      <w:r w:rsidRPr="00C9564D">
        <w:t xml:space="preserve">(Synonyms: alien, </w:t>
      </w:r>
      <w:r w:rsidR="00A94389" w:rsidRPr="00C9564D">
        <w:t>allochthonous</w:t>
      </w:r>
      <w:r w:rsidRPr="00C9564D">
        <w:t>, exotic, introduced, non-indigenous</w:t>
      </w:r>
      <w:r w:rsidR="008B7687" w:rsidRPr="00C9564D">
        <w:t xml:space="preserve"> tree</w:t>
      </w:r>
      <w:r w:rsidRPr="00C9564D">
        <w:t>)</w:t>
      </w:r>
    </w:p>
    <w:p w14:paraId="59071311" w14:textId="6DA856AF" w:rsidR="008B7687" w:rsidRPr="00C9564D" w:rsidRDefault="00A57294" w:rsidP="008B7687">
      <w:pPr>
        <w:spacing w:before="120" w:after="120"/>
        <w:jc w:val="both"/>
      </w:pPr>
      <w:r w:rsidRPr="00C9564D">
        <w:t>In</w:t>
      </w:r>
      <w:r w:rsidR="00A94389" w:rsidRPr="00C9564D">
        <w:t xml:space="preserve"> the GG-NNTs,</w:t>
      </w:r>
      <w:r w:rsidRPr="00C9564D">
        <w:t xml:space="preserve"> accordance with the Convention on Biological Diversity (CBD) principles and defi</w:t>
      </w:r>
      <w:r w:rsidR="00A94389" w:rsidRPr="00C9564D">
        <w:t>ni</w:t>
      </w:r>
      <w:r w:rsidRPr="00C9564D">
        <w:t xml:space="preserve">tions (Decision V/8 of the Conference of the Parties to the CBD), the term non-native tree (NNT) has exclusively a biogeographical meaning, i.e. it refers to a tree species, subspecies, lower taxon, </w:t>
      </w:r>
      <w:r w:rsidR="001E1309" w:rsidRPr="00C9564D">
        <w:t xml:space="preserve">or genotype, </w:t>
      </w:r>
      <w:r w:rsidRPr="00C9564D">
        <w:t>introduced to regions outside its past or present natural distribution, and includes any part, seeds, or propagules of such taxon that might survive and subsequently reproduce. As such, the term alien tree carries no connotation (negative or positive) relating to the risk of the species affecting biodiversity.</w:t>
      </w:r>
      <w:r w:rsidR="007E7FED" w:rsidRPr="00C9564D">
        <w:t xml:space="preserve"> The concept is not related to political limits but rather to geographical, abiotic or biotic barriers that limit species’ distribution. In this sense, NNTs include </w:t>
      </w:r>
      <w:r w:rsidR="007E7FED" w:rsidRPr="00C9564D">
        <w:lastRenderedPageBreak/>
        <w:t>species that are native to restricted regions in a country and are translocated by humans to other regions in the same country or even state where they are not native.</w:t>
      </w:r>
      <w:r w:rsidR="008B7687" w:rsidRPr="00C9564D">
        <w:t xml:space="preserve"> Importantly, an NNT species is “introduced outside its natural past or present distribution” deliberately or accidentally by human activity. The definition takes into consideration the Recommendation No. 142 (2009) of the Standing Committee (Convention on the Conservation of European Wildlife and Natural Habitats), adopted on 26 November 2009, interpreting the CBD definition of “invasive alien species” to take into account climate change, “recommends Contracting Parties to the Convention and invites Observer States to: 1. interpret the term “alien species” for the purpose of the implementation of the European Strategy on Invasive Alien Species as not including native species naturally extending their range in response to climate change”. As a result, also past mass migratory events in forest tree populations, postglacial recolonization routes and similar events are not considered herewith in the definition of NNT species. We focus on NNTs deliberately or accidentally introduced by human activity outside their natural past or present distribution, where “past” refers to the definition of “neophytes” (i.e. introduced after the 1,500) as used in the CBD context and defined by</w:t>
      </w:r>
      <w:r w:rsidR="00D67940" w:rsidRPr="00C9564D">
        <w:t xml:space="preserve"> </w:t>
      </w:r>
      <w:r w:rsidR="008B7687" w:rsidRPr="00C9564D">
        <w:fldChar w:fldCharType="begin"/>
      </w:r>
      <w:r w:rsidR="00891941" w:rsidRPr="00C9564D">
        <w:instrText xml:space="preserve"> ADDIN ZOTERO_ITEM CSL_CITATION {"citationID":"l04Or6uv","properties":{"formattedCitation":"(Py\\uc0\\u353{}ek et al. 2004)","plainCitation":"(Pyšek et al. 2004)","dontUpdate":true,"noteIndex":0},"citationItems":[{"id":182,"uris":["http://zotero.org/users/6602900/items/7ZAC6ZV5"],"uri":["http://zotero.org/users/6602900/items/7ZAC6ZV5"],"itemData":{"id":182,"type":"article-journal","abstract":"Abstract The number of studies dealing with plant invasions is increasing rapidly, but the accumulating body of knowledge has unfortunately also spawned increasing confusion about terminology. Invasions are a global phenomenon and comparison of geographically distant regions and their introduced biota is a crucially important methodological approach for elucidation of the determinants of invasiveness and invasibility. Comparative studies of alien floras provide substantial new insights to our understanding of general patterns of plant invasions. Such studies, using information in previously published floras and checklists, are fundamentally dependent on the quality of the assessment of particular species with respect to their taxonomic identity, time of immigration and invasion status. Three crucial decisions should be made when defining the status of a plant species in a given region: (1) whether the taxon is native or alien to that region (origin status); (2) what is its position in the invasion process, i.e., when was it introduced (residence status); and (3) what is the degree of its naturalization and possible invasion (invasion status). Standard floras differ hugely in their treatment of non?native species and those with appropriate categorization of alien species according to their status are rather rare. The present paper suggests definitions of terms associated with plant invasions and places these into the context of floras. Recommendations are outlined on how to deal with the issue of plant invasions in standard floras with the aim of contributing to a better understanding between taxonomists and ecologists and allowing more detailed comparative analyses of alien floras of various regions of the world.","container-title":"TAXON","DOI":"10.2307/4135498","ISSN":"0040-0262","issue":"1","journalAbbreviation":"TAXON","note":"publisher: John Wiley &amp; Sons, Ltd","page":"131-143","title":"Alien plants in checklists and floras: towards better communication between taxonomists and ecologists","volume":"53","author":[{"family":"Pyšek","given":"Petr"},{"family":"Richardson","given":"David M."},{"family":"Rejmánek","given":"Marcel"},{"family":"Webster","given":"Grady L."},{"family":"Williamson","given":"Mark"},{"family":"Kirschner","given":"Jan"}],"issued":{"date-parts":[["2004",2,1]]}}}],"schema":"https://github.com/citation-style-language/schema/raw/master/csl-citation.json"} </w:instrText>
      </w:r>
      <w:r w:rsidR="008B7687" w:rsidRPr="00C9564D">
        <w:fldChar w:fldCharType="separate"/>
      </w:r>
      <w:r w:rsidR="00D67940" w:rsidRPr="00C9564D">
        <w:t>Pyšek et al. (2004)</w:t>
      </w:r>
      <w:r w:rsidR="008B7687" w:rsidRPr="00C9564D">
        <w:fldChar w:fldCharType="end"/>
      </w:r>
      <w:r w:rsidR="008B7687" w:rsidRPr="00C9564D">
        <w:t>.</w:t>
      </w:r>
    </w:p>
    <w:p w14:paraId="50C7E0A5" w14:textId="77777777" w:rsidR="008B7687" w:rsidRPr="00C9564D" w:rsidRDefault="008B7687" w:rsidP="00A57294">
      <w:pPr>
        <w:spacing w:before="120" w:after="120"/>
        <w:jc w:val="both"/>
      </w:pPr>
    </w:p>
    <w:p w14:paraId="5E02B76C" w14:textId="77777777" w:rsidR="008B7687" w:rsidRPr="00C9564D" w:rsidRDefault="008B7687" w:rsidP="008B7687">
      <w:pPr>
        <w:spacing w:before="120" w:after="120"/>
        <w:rPr>
          <w:b/>
          <w:bCs/>
        </w:rPr>
      </w:pPr>
      <w:r w:rsidRPr="00C9564D">
        <w:rPr>
          <w:b/>
          <w:bCs/>
        </w:rPr>
        <w:t>Invasive Non-Native Tree (INNT)</w:t>
      </w:r>
    </w:p>
    <w:p w14:paraId="679DA2B6" w14:textId="1EDE510B" w:rsidR="00A57294" w:rsidRPr="00C9564D" w:rsidRDefault="00A57294" w:rsidP="00A57294">
      <w:pPr>
        <w:spacing w:before="120" w:after="120"/>
        <w:jc w:val="both"/>
        <w:rPr>
          <w:color w:val="000000" w:themeColor="text1"/>
        </w:rPr>
      </w:pPr>
      <w:r w:rsidRPr="00C9564D">
        <w:t xml:space="preserve">Only a subset of all the </w:t>
      </w:r>
      <w:r w:rsidR="00A94389" w:rsidRPr="00C9564D">
        <w:t>NNT</w:t>
      </w:r>
      <w:r w:rsidR="008B7687" w:rsidRPr="00C9564D">
        <w:t>s</w:t>
      </w:r>
      <w:r w:rsidRPr="00C9564D">
        <w:t xml:space="preserve"> species are, or may become after some time, </w:t>
      </w:r>
      <w:r w:rsidR="00A94389" w:rsidRPr="00C9564D">
        <w:t>INNT</w:t>
      </w:r>
      <w:r w:rsidR="008B7687" w:rsidRPr="00C9564D">
        <w:t>s</w:t>
      </w:r>
      <w:r w:rsidRPr="00C9564D">
        <w:t xml:space="preserve"> (</w:t>
      </w:r>
      <w:r w:rsidR="00A94389" w:rsidRPr="00C9564D">
        <w:rPr>
          <w:i/>
          <w:iCs/>
        </w:rPr>
        <w:t>sensu</w:t>
      </w:r>
      <w:r w:rsidR="00A94389" w:rsidRPr="00C9564D">
        <w:t xml:space="preserve"> </w:t>
      </w:r>
      <w:r w:rsidRPr="00C9564D">
        <w:t xml:space="preserve">COP 6 Decision VI/23 “Alien species that threaten ecosystems, habitats or species”). </w:t>
      </w:r>
      <w:r w:rsidRPr="00C9564D">
        <w:rPr>
          <w:color w:val="000000" w:themeColor="text1"/>
        </w:rPr>
        <w:t>In accordance with the CBD definition, and for the purposes of these GG-NN</w:t>
      </w:r>
      <w:r w:rsidR="008B7687" w:rsidRPr="00C9564D">
        <w:rPr>
          <w:color w:val="000000" w:themeColor="text1"/>
        </w:rPr>
        <w:t>T</w:t>
      </w:r>
      <w:r w:rsidRPr="00C9564D">
        <w:rPr>
          <w:color w:val="000000" w:themeColor="text1"/>
        </w:rPr>
        <w:t xml:space="preserve">s, an </w:t>
      </w:r>
      <w:r w:rsidRPr="00C9564D">
        <w:rPr>
          <w:bCs/>
          <w:color w:val="000000" w:themeColor="text1"/>
        </w:rPr>
        <w:t>invasive non-native tree (INNT)</w:t>
      </w:r>
      <w:r w:rsidRPr="00C9564D">
        <w:rPr>
          <w:color w:val="000000" w:themeColor="text1"/>
        </w:rPr>
        <w:t xml:space="preserve"> is herewith defined as an </w:t>
      </w:r>
      <w:r w:rsidR="00D67940" w:rsidRPr="00C9564D">
        <w:rPr>
          <w:color w:val="000000" w:themeColor="text1"/>
        </w:rPr>
        <w:t>NNT species</w:t>
      </w:r>
      <w:r w:rsidRPr="00C9564D">
        <w:rPr>
          <w:color w:val="000000" w:themeColor="text1"/>
        </w:rPr>
        <w:t xml:space="preserve"> whose introduction and/or spread threatens or adversely impacts biodiversity and related ecosystem services, or causes ecosystem disservices </w:t>
      </w:r>
      <w:r w:rsidR="00CC3181" w:rsidRPr="00C9564D">
        <w:rPr>
          <w:color w:val="000000" w:themeColor="text1"/>
        </w:rPr>
        <w:fldChar w:fldCharType="begin"/>
      </w:r>
      <w:r w:rsidR="00CC3181" w:rsidRPr="00C9564D">
        <w:rPr>
          <w:color w:val="000000" w:themeColor="text1"/>
        </w:rPr>
        <w:instrText xml:space="preserve"> ADDIN ZOTERO_ITEM CSL_CITATION {"citationID":"cnFtVnTg","properties":{"formattedCitation":"(Vaz et al. 2017)","plainCitation":"(Vaz et al. 2017)","noteIndex":0},"citationItems":[{"id":198,"uris":["http://zotero.org/users/6602900/items/3V2AVIKE"],"uri":["http://zotero.org/users/6602900/items/3V2AVIKE"],"itemData":{"id":198,"type":"article-journal","abstract":"There is growing interest in ecosystem disservices, i.e. the negative effects of ecosystems on humans. The focus on disservices has been controversial because of the lack of clarity on how to disentangle ecosystem services and disservices related to human wellbeing. A perspective that considers both services and disservices is needed to inform objective decision-making. We propose a comprehensive typology of ecosystem disservices, and present a framework for integrating ecosystem services and disservices for human wellbeing linked to ecosystem functioning. Our treatment is underpinned by three key assumptions: (1) ecosystem attributes and functions are value-free; (2) the perception of benefits or nuisances are however dependent on societal context, and preferences and actions by societal actors may trigger, enhance or alleviate benefits or nuisances derived from ecosystems; and (3) the notion of disservices must account for the role of human management in assessments of ecosystem values, i.e. the social and technological measures that identify, protect, promote or restore desirable levels of services, and concurrently minimise, mitigate or adapt to disservices. We illustrate our ideas with examples from plant invasions as a complex social-ecological phenomenon.","container-title":"Ecosystem Services","DOI":"10.1016/j.ecoser.2016.11.017","ISSN":"2212-0416","journalAbbreviation":"Ecosystem Services","page":"94-107","title":"Integrating ecosystem services and disservices: insights from plant invasions","volume":"23","author":[{"family":"Vaz","given":"Ana S."},{"family":"Kueffer","given":"Christoph"},{"family":"Kull","given":"Christian A."},{"family":"Richardson","given":"David M."},{"family":"Vicente","given":"Joana R."},{"family":"Kühn","given":"Ingolf"},{"family":"Schröter","given":"Matthias"},{"family":"Hauck","given":"Jennifer"},{"family":"Bonn","given":"Aletta"},{"family":"Honrado","given":"João P."}],"issued":{"date-parts":[["2017",2,1]]}}}],"schema":"https://github.com/citation-style-language/schema/raw/master/csl-citation.json"} </w:instrText>
      </w:r>
      <w:r w:rsidR="00CC3181" w:rsidRPr="00C9564D">
        <w:rPr>
          <w:color w:val="000000" w:themeColor="text1"/>
        </w:rPr>
        <w:fldChar w:fldCharType="separate"/>
      </w:r>
      <w:r w:rsidR="00026EED" w:rsidRPr="00026EED">
        <w:t>(Vaz et al. 2017)</w:t>
      </w:r>
      <w:r w:rsidR="00CC3181" w:rsidRPr="00C9564D">
        <w:rPr>
          <w:color w:val="000000" w:themeColor="text1"/>
        </w:rPr>
        <w:fldChar w:fldCharType="end"/>
      </w:r>
      <w:r w:rsidRPr="00C9564D">
        <w:rPr>
          <w:color w:val="000000" w:themeColor="text1"/>
        </w:rPr>
        <w:t xml:space="preserve">. </w:t>
      </w:r>
      <w:r w:rsidRPr="00C9564D">
        <w:rPr>
          <w:bCs/>
          <w:color w:val="000000" w:themeColor="text1"/>
        </w:rPr>
        <w:t>I</w:t>
      </w:r>
      <w:r w:rsidR="00CC3181" w:rsidRPr="00C9564D">
        <w:rPr>
          <w:bCs/>
          <w:color w:val="000000" w:themeColor="text1"/>
        </w:rPr>
        <w:t>NNTs</w:t>
      </w:r>
      <w:r w:rsidRPr="00C9564D">
        <w:rPr>
          <w:color w:val="000000" w:themeColor="text1"/>
        </w:rPr>
        <w:t xml:space="preserve"> are thus a subset of the </w:t>
      </w:r>
      <w:r w:rsidR="00CC3181" w:rsidRPr="00C9564D">
        <w:rPr>
          <w:color w:val="000000" w:themeColor="text1"/>
        </w:rPr>
        <w:t>(</w:t>
      </w:r>
      <w:r w:rsidRPr="00C9564D">
        <w:rPr>
          <w:color w:val="000000" w:themeColor="text1"/>
        </w:rPr>
        <w:t>naturalised</w:t>
      </w:r>
      <w:r w:rsidR="00CC3181" w:rsidRPr="00C9564D">
        <w:rPr>
          <w:color w:val="000000" w:themeColor="text1"/>
        </w:rPr>
        <w:t>)</w:t>
      </w:r>
      <w:r w:rsidRPr="00C9564D">
        <w:rPr>
          <w:color w:val="000000" w:themeColor="text1"/>
        </w:rPr>
        <w:t xml:space="preserve"> </w:t>
      </w:r>
      <w:r w:rsidR="00CC3181" w:rsidRPr="00C9564D">
        <w:rPr>
          <w:color w:val="000000" w:themeColor="text1"/>
        </w:rPr>
        <w:t>NNTs</w:t>
      </w:r>
      <w:r w:rsidRPr="00C9564D">
        <w:rPr>
          <w:color w:val="000000" w:themeColor="text1"/>
        </w:rPr>
        <w:t xml:space="preserve">. However, we also take into consideration that negative impacts on the economy and on public health might occur </w:t>
      </w:r>
      <w:r w:rsidR="00CC3181" w:rsidRPr="00C9564D">
        <w:rPr>
          <w:color w:val="000000" w:themeColor="text1"/>
        </w:rPr>
        <w:fldChar w:fldCharType="begin"/>
      </w:r>
      <w:r w:rsidR="00CC3181" w:rsidRPr="00C9564D">
        <w:rPr>
          <w:color w:val="000000" w:themeColor="text1"/>
        </w:rPr>
        <w:instrText xml:space="preserve"> ADDIN ZOTERO_ITEM CSL_CITATION {"citationID":"jwYImVG0","properties":{"formattedCitation":"(Bacher et al. 2018)","plainCitation":"(Bacher et al. 2018)","noteIndex":0},"citationItems":[{"id":347,"uris":["http://zotero.org/users/6602900/items/9W7AUES2"],"uri":["http://zotero.org/users/6602900/items/9W7AUES2"],"itemData":{"id":347,"type":"article-journal","abstract":"Abstract Many alien taxa are known to cause socio-economic impacts by affecting the different constituents of human well-being (security; material and non-material assets; health; social, spiritual and cultural relations; freedom of choice and action). Attempts to quantify socio-economic impacts in monetary terms are unlikely to provide a useful basis for evaluating and comparing impacts of alien taxa because they are notoriously difficult to measure and important aspects of human well-being are ignored. Here, we propose a novel standardised method for classifying alien taxa in terms of the magnitude of their impacts on human well-being, based on the capability approach from welfare economics. The core characteristic of this approach is that it uses changes in peoples' activities as a common metric for evaluating impacts on well-being. Impacts are assigned to one of five levels, from Minimal Concern to Massive, according to semi-quantitative scenarios that describe the severity of the impacts. Taxa are then classified according to the highest level of deleterious impact that they have been recorded to cause on any constituent of human well-being. The scheme also includes categories for taxa that are not evaluated, have no alien population, or are data deficient, and a method for assigning uncertainty to all the classifications. To demonstrate the utility of the system, we classified impacts of amphibians globally. These showed a variety of impacts on human well-being, with the cane toad (Rhinella marina) scoring Major impacts. For most species, however, no studies reporting impacts on human well-being were found, i.e. these species were data deficient. The classification provides a consistent procedure for translating the broad range of measures and types of impact into ranked levels of socio-economic impact, assigns alien taxa on the basis of the best available evidence of their documented deleterious impacts, and is applicable across taxa and at a range of spatial scales. The system was designed to align closely with the Environmental Impact Classification for Alien Taxa (EICAT) and the Red List, both of which have been adopted by the International Union of Nature Conservation (IUCN), and could therefore be readily integrated into international practices and policies.","container-title":"Methods in Ecology and Evolution","DOI":"10.1111/2041-210X.12844","ISSN":"2041-210X","issue":"1","journalAbbreviation":"Methods in Ecology and Evolution","note":"publisher: John Wiley &amp; Sons, Ltd","page":"159-168","title":"Socio-economic impact classification of alien taxa (SEICAT)","volume":"9","author":[{"family":"Bacher","given":"Sven"},{"family":"Blackburn","given":"Tim M."},{"family":"Essl","given":"Franz"},{"family":"Genovesi","given":"Piero"},{"family":"Heikkilä","given":"Jaakko"},{"family":"Jeschke","given":"Jonathan M."},{"family":"Jones","given":"Glyn"},{"family":"Keller","given":"Reuben"},{"family":"Kenis","given":"Marc"},{"family":"Kueffer","given":"Christoph"},{"family":"Martinou","given":"Angeliki F."},{"family":"Nentwig","given":"Wolfgang"},{"family":"Pergl","given":"Jan"},{"family":"Pyšek","given":"Petr"},{"family":"Rabitsch","given":"Wolfgang"},{"family":"Richardson","given":"David M."},{"family":"Roy","given":"Helen E."},{"family":"Saul","given":"Wolf-Christian"},{"family":"Scalera","given":"Riccardo"},{"family":"Vilà","given":"Montserrat"},{"family":"Wilson","given":"John R. U."},{"family":"Kumschick","given":"Sabrina"}],"issued":{"date-parts":[["2018",1,1]]}}}],"schema":"https://github.com/citation-style-language/schema/raw/master/csl-citation.json"} </w:instrText>
      </w:r>
      <w:r w:rsidR="00CC3181" w:rsidRPr="00C9564D">
        <w:rPr>
          <w:color w:val="000000" w:themeColor="text1"/>
        </w:rPr>
        <w:fldChar w:fldCharType="separate"/>
      </w:r>
      <w:r w:rsidR="00026EED" w:rsidRPr="00026EED">
        <w:t>(Bacher et al. 2018)</w:t>
      </w:r>
      <w:r w:rsidR="00CC3181" w:rsidRPr="00C9564D">
        <w:rPr>
          <w:color w:val="000000" w:themeColor="text1"/>
        </w:rPr>
        <w:fldChar w:fldCharType="end"/>
      </w:r>
      <w:r w:rsidRPr="00C9564D">
        <w:rPr>
          <w:color w:val="000000" w:themeColor="text1"/>
        </w:rPr>
        <w:t>.</w:t>
      </w:r>
    </w:p>
    <w:p w14:paraId="099FBC71" w14:textId="209349B0" w:rsidR="00A57294" w:rsidRPr="00C9564D" w:rsidRDefault="00A57294" w:rsidP="00A57294">
      <w:pPr>
        <w:spacing w:before="120" w:after="120"/>
      </w:pPr>
    </w:p>
    <w:p w14:paraId="500CFD23" w14:textId="11490B89" w:rsidR="00A57294" w:rsidRPr="00C9564D" w:rsidRDefault="00A57294" w:rsidP="00A57294">
      <w:pPr>
        <w:spacing w:before="120" w:after="120"/>
        <w:rPr>
          <w:b/>
          <w:bCs/>
        </w:rPr>
      </w:pPr>
      <w:r w:rsidRPr="00C9564D">
        <w:rPr>
          <w:b/>
          <w:bCs/>
        </w:rPr>
        <w:t xml:space="preserve">Introduced </w:t>
      </w:r>
      <w:r w:rsidR="008B7687" w:rsidRPr="00C9564D">
        <w:rPr>
          <w:b/>
          <w:bCs/>
        </w:rPr>
        <w:t xml:space="preserve">tree </w:t>
      </w:r>
      <w:r w:rsidRPr="00C9564D">
        <w:rPr>
          <w:b/>
          <w:bCs/>
        </w:rPr>
        <w:t>(FAO)</w:t>
      </w:r>
    </w:p>
    <w:p w14:paraId="1D580980" w14:textId="7C2BD4A4" w:rsidR="00A57294" w:rsidRPr="00C9564D" w:rsidRDefault="00A57294" w:rsidP="00A57294">
      <w:pPr>
        <w:pStyle w:val="FootnoteText"/>
        <w:spacing w:before="120" w:after="120"/>
        <w:rPr>
          <w:rFonts w:ascii="Times New Roman" w:hAnsi="Times New Roman" w:cs="Times New Roman"/>
          <w:color w:val="000000" w:themeColor="text1"/>
          <w:sz w:val="24"/>
          <w:szCs w:val="24"/>
        </w:rPr>
      </w:pPr>
      <w:r w:rsidRPr="00C9564D">
        <w:rPr>
          <w:rFonts w:ascii="Times New Roman" w:hAnsi="Times New Roman" w:cs="Times New Roman"/>
          <w:color w:val="000000" w:themeColor="text1"/>
          <w:sz w:val="24"/>
          <w:szCs w:val="24"/>
        </w:rPr>
        <w:t xml:space="preserve">The 2010 FAO Global Forest Resources Assessments </w:t>
      </w:r>
      <w:r w:rsidR="00CC3181" w:rsidRPr="00C9564D">
        <w:rPr>
          <w:rFonts w:ascii="Times New Roman" w:hAnsi="Times New Roman" w:cs="Times New Roman"/>
          <w:color w:val="000000" w:themeColor="text1"/>
          <w:sz w:val="24"/>
          <w:szCs w:val="24"/>
        </w:rPr>
        <w:t xml:space="preserve">used </w:t>
      </w:r>
      <w:r w:rsidRPr="00C9564D">
        <w:rPr>
          <w:rFonts w:ascii="Times New Roman" w:hAnsi="Times New Roman" w:cs="Times New Roman"/>
          <w:color w:val="000000" w:themeColor="text1"/>
          <w:sz w:val="24"/>
          <w:szCs w:val="24"/>
        </w:rPr>
        <w:t>the term “introduced species” which is defined as a species, subspecies or lower taxon, occurring outside its natural range (past or present) and dispersal potential (i.e. outside the range it occupies naturally or could occupy without direct or indirect introduction or care by humans)</w:t>
      </w:r>
      <w:r w:rsidR="00702B6F" w:rsidRPr="00C9564D">
        <w:rPr>
          <w:rFonts w:ascii="Times New Roman" w:hAnsi="Times New Roman" w:cs="Times New Roman"/>
          <w:color w:val="000000" w:themeColor="text1"/>
          <w:sz w:val="24"/>
          <w:szCs w:val="24"/>
        </w:rPr>
        <w:t xml:space="preserve"> </w:t>
      </w:r>
      <w:r w:rsidR="00702B6F" w:rsidRPr="00C9564D">
        <w:rPr>
          <w:rFonts w:ascii="Times New Roman" w:hAnsi="Times New Roman" w:cs="Times New Roman"/>
          <w:color w:val="000000" w:themeColor="text1"/>
          <w:sz w:val="24"/>
          <w:szCs w:val="24"/>
        </w:rPr>
        <w:fldChar w:fldCharType="begin"/>
      </w:r>
      <w:r w:rsidR="00891941" w:rsidRPr="00C9564D">
        <w:rPr>
          <w:rFonts w:ascii="Times New Roman" w:hAnsi="Times New Roman" w:cs="Times New Roman"/>
          <w:color w:val="000000" w:themeColor="text1"/>
          <w:sz w:val="24"/>
          <w:szCs w:val="24"/>
        </w:rPr>
        <w:instrText xml:space="preserve"> ADDIN ZOTERO_ITEM CSL_CITATION {"citationID":"hGECP3Pi","properties":{"formattedCitation":"(FAO 2010)","plainCitation":"(FAO 2010)","noteIndex":0},"citationItems":[{"id":575,"uris":["http://zotero.org/users/6602900/items/5YGR9WDP"],"uri":["http://zotero.org/users/6602900/items/5YGR9WDP"],"itemData":{"id":575,"type":"book","collection-number":"163","collection-title":"FAO Forestry Paper","event-place":"Rome","ISBN":"978-92-5-106654-6","language":"en","number-of-pages":"340","publisher":"FAO","publisher-place":"Rome","source":"DOI.org (Crossref)","title":"Global Forest Resources Assessment 2010 - Main Report","URL":"http://www.fao.org/3/a-i1757e.pdf","author":[{"family":"FAO","given":""}],"accessed":{"date-parts":[["2020",5,31]]},"issued":{"date-parts":[["2010"]]}}}],"schema":"https://github.com/citation-style-language/schema/raw/master/csl-citation.json"} </w:instrText>
      </w:r>
      <w:r w:rsidR="00702B6F" w:rsidRPr="00C9564D">
        <w:rPr>
          <w:rFonts w:ascii="Times New Roman" w:hAnsi="Times New Roman" w:cs="Times New Roman"/>
          <w:color w:val="000000" w:themeColor="text1"/>
          <w:sz w:val="24"/>
          <w:szCs w:val="24"/>
        </w:rPr>
        <w:fldChar w:fldCharType="separate"/>
      </w:r>
      <w:r w:rsidR="00026EED" w:rsidRPr="00026EED">
        <w:rPr>
          <w:rFonts w:ascii="Times New Roman" w:hAnsi="Times New Roman" w:cs="Times New Roman"/>
          <w:sz w:val="24"/>
        </w:rPr>
        <w:t>(FAO 2010)</w:t>
      </w:r>
      <w:r w:rsidR="00702B6F" w:rsidRPr="00C9564D">
        <w:rPr>
          <w:rFonts w:ascii="Times New Roman" w:hAnsi="Times New Roman" w:cs="Times New Roman"/>
          <w:color w:val="000000" w:themeColor="text1"/>
          <w:sz w:val="24"/>
          <w:szCs w:val="24"/>
        </w:rPr>
        <w:fldChar w:fldCharType="end"/>
      </w:r>
      <w:r w:rsidRPr="00C9564D">
        <w:rPr>
          <w:rFonts w:ascii="Times New Roman" w:hAnsi="Times New Roman" w:cs="Times New Roman"/>
          <w:color w:val="000000" w:themeColor="text1"/>
          <w:sz w:val="24"/>
          <w:szCs w:val="24"/>
        </w:rPr>
        <w:t xml:space="preserve">. The FAO 2015 Global Forest Resources Assessment (FRA), defines an introduced species as a species, subspecies or lower taxon, occurring outside its natural range (past or present) and dispersal potential, i.e. outside the range it occupies naturally or could occupy without direct or indirect introduction or care by humans. In </w:t>
      </w:r>
      <w:r w:rsidR="00702B6F" w:rsidRPr="00C9564D">
        <w:rPr>
          <w:rFonts w:ascii="Times New Roman" w:hAnsi="Times New Roman" w:cs="Times New Roman"/>
          <w:color w:val="000000" w:themeColor="text1"/>
          <w:sz w:val="24"/>
          <w:szCs w:val="24"/>
        </w:rPr>
        <w:t xml:space="preserve">FAO </w:t>
      </w:r>
      <w:r w:rsidRPr="00C9564D">
        <w:rPr>
          <w:rFonts w:ascii="Times New Roman" w:hAnsi="Times New Roman" w:cs="Times New Roman"/>
          <w:color w:val="000000" w:themeColor="text1"/>
          <w:sz w:val="24"/>
          <w:szCs w:val="24"/>
        </w:rPr>
        <w:t>FRA 2015 the term introduced is considered equivalent to non-native</w:t>
      </w:r>
      <w:r w:rsidR="00702B6F" w:rsidRPr="00C9564D">
        <w:rPr>
          <w:rFonts w:ascii="Times New Roman" w:hAnsi="Times New Roman" w:cs="Times New Roman"/>
          <w:color w:val="000000" w:themeColor="text1"/>
          <w:sz w:val="24"/>
          <w:szCs w:val="24"/>
        </w:rPr>
        <w:t xml:space="preserve"> </w:t>
      </w:r>
      <w:r w:rsidR="00702B6F" w:rsidRPr="00C9564D">
        <w:rPr>
          <w:rFonts w:ascii="Times New Roman" w:hAnsi="Times New Roman" w:cs="Times New Roman"/>
          <w:color w:val="000000" w:themeColor="text1"/>
          <w:sz w:val="24"/>
          <w:szCs w:val="24"/>
        </w:rPr>
        <w:fldChar w:fldCharType="begin"/>
      </w:r>
      <w:r w:rsidR="00702B6F" w:rsidRPr="00C9564D">
        <w:rPr>
          <w:rFonts w:ascii="Times New Roman" w:hAnsi="Times New Roman" w:cs="Times New Roman"/>
          <w:color w:val="000000" w:themeColor="text1"/>
          <w:sz w:val="24"/>
          <w:szCs w:val="24"/>
        </w:rPr>
        <w:instrText xml:space="preserve"> ADDIN ZOTERO_ITEM CSL_CITATION {"citationID":"6OpT1mYV","properties":{"formattedCitation":"(FAO 2016)","plainCitation":"(FAO 2016)","noteIndex":0},"citationItems":[{"id":355,"uris":["http://zotero.org/users/6602900/items/RKJ9S8N7"],"uri":["http://zotero.org/users/6602900/items/RKJ9S8N7"],"itemData":{"id":355,"type":"book","event-place":"Rome","ISBN":"978-92-5-109283-5","language":"en","number-of-pages":"16","publisher":"FAO","publisher-place":"Rome","source":"DOI.org (Crossref)","title":"Global Forest Resources Assessment 2015 - Second Edition","URL":"http://www.fao.org/3/a-i4793e.pdf","author":[{"family":"FAO","given":""}],"accessed":{"date-parts":[["2020",5,31]]},"issued":{"date-parts":[["2016"]]}}}],"schema":"https://github.com/citation-style-language/schema/raw/master/csl-citation.json"} </w:instrText>
      </w:r>
      <w:r w:rsidR="00702B6F" w:rsidRPr="00C9564D">
        <w:rPr>
          <w:rFonts w:ascii="Times New Roman" w:hAnsi="Times New Roman" w:cs="Times New Roman"/>
          <w:color w:val="000000" w:themeColor="text1"/>
          <w:sz w:val="24"/>
          <w:szCs w:val="24"/>
        </w:rPr>
        <w:fldChar w:fldCharType="separate"/>
      </w:r>
      <w:r w:rsidR="00026EED" w:rsidRPr="00026EED">
        <w:rPr>
          <w:rFonts w:ascii="Times New Roman" w:hAnsi="Times New Roman" w:cs="Times New Roman"/>
          <w:sz w:val="24"/>
        </w:rPr>
        <w:t>(FAO 2016)</w:t>
      </w:r>
      <w:r w:rsidR="00702B6F" w:rsidRPr="00C9564D">
        <w:rPr>
          <w:rFonts w:ascii="Times New Roman" w:hAnsi="Times New Roman" w:cs="Times New Roman"/>
          <w:color w:val="000000" w:themeColor="text1"/>
          <w:sz w:val="24"/>
          <w:szCs w:val="24"/>
        </w:rPr>
        <w:fldChar w:fldCharType="end"/>
      </w:r>
      <w:r w:rsidRPr="00C9564D">
        <w:rPr>
          <w:rFonts w:ascii="Times New Roman" w:hAnsi="Times New Roman" w:cs="Times New Roman"/>
          <w:color w:val="000000" w:themeColor="text1"/>
          <w:sz w:val="24"/>
          <w:szCs w:val="24"/>
        </w:rPr>
        <w:t>.</w:t>
      </w:r>
    </w:p>
    <w:p w14:paraId="5571288C" w14:textId="77777777" w:rsidR="00A57294" w:rsidRPr="00C9564D" w:rsidRDefault="00A57294" w:rsidP="00A57294">
      <w:pPr>
        <w:spacing w:before="120" w:after="120"/>
      </w:pPr>
    </w:p>
    <w:p w14:paraId="712D73C6" w14:textId="77777777" w:rsidR="00A57294" w:rsidRPr="00C9564D" w:rsidRDefault="00A57294" w:rsidP="00A57294">
      <w:pPr>
        <w:spacing w:before="120" w:after="120"/>
        <w:rPr>
          <w:b/>
          <w:bCs/>
        </w:rPr>
      </w:pPr>
      <w:r w:rsidRPr="00C9564D">
        <w:rPr>
          <w:b/>
          <w:bCs/>
        </w:rPr>
        <w:t>Sentinel plant, sentinel plantings</w:t>
      </w:r>
    </w:p>
    <w:p w14:paraId="2ED303A6" w14:textId="04D4FA80" w:rsidR="00124E44" w:rsidRPr="00C9564D" w:rsidRDefault="006E1AC8" w:rsidP="005A3C23">
      <w:pPr>
        <w:spacing w:before="120" w:after="120"/>
        <w:jc w:val="both"/>
        <w:rPr>
          <w:b/>
          <w:bCs/>
        </w:rPr>
      </w:pPr>
      <w:r w:rsidRPr="00C9564D">
        <w:t xml:space="preserve">The simplest definition of a sentinel plant is “a plant that is monitored for the presence of species that have the potential to cause damage” </w:t>
      </w:r>
      <w:r w:rsidRPr="00C9564D">
        <w:fldChar w:fldCharType="begin"/>
      </w:r>
      <w:r w:rsidRPr="00C9564D">
        <w:instrText xml:space="preserve"> ADDIN ZOTERO_ITEM CSL_CITATION {"citationID":"vWVndKHE","properties":{"formattedCitation":"(Mansfield et al. 2019)","plainCitation":"(Mansfield et al. 2019)","noteIndex":0},"citationItems":[{"id":302,"uris":["http://zotero.org/users/6602900/items/VGTXW5R9"],"uri":["http://zotero.org/users/6602900/items/VGTXW5R9"],"itemData":{"id":302,"type":"article-journal","abstract":"Effective surveillance for early detection of invasive alien species in natural ecosystems, or on valued plants found in modified areas, could prevent potentially devastating and costly impacts (whether environmental, economic or cultural) of new invasions on the invaded country. Surveillance technologies are often constrained by a range of factors. Determining which species present a significant risk before they reach the border is an effective strategy to minimize the possibility of invasion and/or the impact of invasion. Surveillance of sentinel plants provides an important tool to strengthen biosecurity programs assisting with i) detecting and identifying insect pests, nematodes and plant diseases that could potentially invade uncolonized countries, and ii) developing pest risk analysis profiles to eliminate or mitigate the risk of arrival. This review examines some of the challenges and opportunities provided by sentinel plant research and discusses the factors that could affect the success of their use for biosecurity risk assessment and surveillance in the New Zealand context.","container-title":"NeoBiota","DOI":"10.3897/neobiota.48.34205","ISSN":"1314-2488, 1619-0033","journalAbbreviation":"NB","language":"en","page":"1-24","source":"DOI.org (Crossref)","title":"The value of sentinel plants for risk assessment and surveillance to support biosecurity","volume":"48","author":[{"family":"Mansfield","given":"Sarah"},{"family":"McNeill","given":"Mark R."},{"family":"Aalders","given":"Lee T."},{"family":"Bell","given":"Nigel L."},{"family":"Kean","given":"John M."},{"family":"Barratt","given":"Barbara I.P."},{"family":"Boyd-Wilson","given":"Kirsty"},{"family":"Teulon","given":"David A.J."}],"issued":{"date-parts":[["2019",7,2]]}}}],"schema":"https://github.com/citation-style-language/schema/raw/master/csl-citation.json"} </w:instrText>
      </w:r>
      <w:r w:rsidRPr="00C9564D">
        <w:fldChar w:fldCharType="separate"/>
      </w:r>
      <w:r w:rsidR="00026EED" w:rsidRPr="00026EED">
        <w:t>(Mansfield et al. 2019)</w:t>
      </w:r>
      <w:r w:rsidRPr="00C9564D">
        <w:fldChar w:fldCharType="end"/>
      </w:r>
      <w:r w:rsidRPr="00C9564D">
        <w:t>.</w:t>
      </w:r>
      <w:r w:rsidR="00702B6F" w:rsidRPr="00C9564D">
        <w:t xml:space="preserve"> The sentinel plant (or sentinel plantings) concept has been interpreted in several different ways, including the possibility of identifying NNTs with a potential risk of escaping from the planting sites and becoming invasive.</w:t>
      </w:r>
    </w:p>
    <w:p w14:paraId="445FA1BF" w14:textId="77777777" w:rsidR="001E1309" w:rsidRPr="00C9564D" w:rsidRDefault="001E1309" w:rsidP="00A57294">
      <w:pPr>
        <w:spacing w:before="120" w:after="120"/>
        <w:rPr>
          <w:b/>
          <w:bCs/>
        </w:rPr>
      </w:pPr>
    </w:p>
    <w:p w14:paraId="0526E2E5" w14:textId="1A8A3D55" w:rsidR="00A57294" w:rsidRPr="00C9564D" w:rsidRDefault="00A57294" w:rsidP="00A57294">
      <w:pPr>
        <w:spacing w:before="120" w:after="120"/>
        <w:rPr>
          <w:b/>
          <w:bCs/>
        </w:rPr>
      </w:pPr>
      <w:r w:rsidRPr="00C9564D">
        <w:rPr>
          <w:b/>
          <w:bCs/>
        </w:rPr>
        <w:t>Risk maps</w:t>
      </w:r>
    </w:p>
    <w:p w14:paraId="24A6344B" w14:textId="795A1F4C" w:rsidR="00BE3E0C" w:rsidRPr="00C9564D" w:rsidRDefault="008245D6" w:rsidP="00A57294">
      <w:pPr>
        <w:spacing w:before="120" w:after="120"/>
        <w:jc w:val="both"/>
      </w:pPr>
      <w:r w:rsidRPr="00C9564D">
        <w:lastRenderedPageBreak/>
        <w:t>R</w:t>
      </w:r>
      <w:r w:rsidR="00A57294" w:rsidRPr="00C9564D">
        <w:t xml:space="preserve">isk maps are powerful visual communication tools to describe where invasive alien species might arrive, establish, spread, or cause harmful impacts. These maps inform strategic and tactical </w:t>
      </w:r>
      <w:r w:rsidRPr="00C9564D">
        <w:t xml:space="preserve">invasive non-native species </w:t>
      </w:r>
      <w:r w:rsidR="00A57294" w:rsidRPr="00C9564D">
        <w:t xml:space="preserve">management decisions, such as potential restrictions on international trade or the design of pest surveys and domestic quarantines. Diverse methods are available to create pest risk maps, and can potentially yield different depictions of risk for the same species </w:t>
      </w:r>
      <w:r w:rsidR="005454A8" w:rsidRPr="00C9564D">
        <w:fldChar w:fldCharType="begin"/>
      </w:r>
      <w:r w:rsidR="005454A8" w:rsidRPr="00C9564D">
        <w:instrText xml:space="preserve"> ADDIN ZOTERO_ITEM CSL_CITATION {"citationID":"k5clzKne","properties":{"formattedCitation":"(Kaplan et al. 2014)","plainCitation":"(Kaplan et al. 2014)","noteIndex":0},"citationItems":[{"id":466,"uris":["http://zotero.org/users/6602900/items/4VQIRIJJ"],"uri":["http://zotero.org/users/6602900/items/4VQIRIJJ"],"itemData":{"id":466,"type":"article-journal","abstract":"The success of pro-active management of invasive plants depends on the ability to rapidly detect invasive populations and individuals. However, the factors important for detection depend on the spatial scale examined. We propose a protocol for developing risk maps at national, landscape, and local scales to improve detection rates of invasive plant species. We test this approach in the context of developing an eradication plan for the invasive tree Acacia stricta in South Africa. At a national scale we used bioclimatic models coupled with the most likely sites of introduction (i.e. forestry nursery plantations) to identify areas where national-scale surveillance should be focussed. At the landscape and local scales we correlated the presence of A. stricta populations to various attributes. Regional populations were found in forestry plantations only, and mostly on highly used graded roads along which seeds are spread by road maintenance vehicles. Locally, previously recorded plant localities accurately predicted individuals in subsequent surveys. Using these variables, we produced a map of high-risk areas that facilitated targeted searches—which reduced the required search effort by ca. 83 %—and developed recommendations for site-specific surveying. With the high visibility of plants, and relatively small seed banks, long-term annual clearing should achieve eradication. We propose that such multi-scale risk mapping is valuable for prioritising management and surveillance efforts, though caution that the approach is correlative and so it does not represent all the sites that can be invaded.","container-title":"Biological Invasions","DOI":"10.1007/s10530-013-0611-z","ISSN":"1573-1464","issue":"3","journalAbbreviation":"Biological Invasions","page":"691-703","title":"Incorporating risk mapping at multiple spatial scales into eradication management plans","volume":"16","author":[{"family":"Kaplan","given":"Haylee"},{"family":"Niekerk","given":"Adriaan","non-dropping-particle":"van"},{"family":"Le Roux","given":"Johannes J."},{"family":"Richardson","given":"David M."},{"family":"Wilson","given":"John R. U."}],"issued":{"date-parts":[["2014",3,1]]}}}],"schema":"https://github.com/citation-style-language/schema/raw/master/csl-citation.json"} </w:instrText>
      </w:r>
      <w:r w:rsidR="005454A8" w:rsidRPr="00C9564D">
        <w:fldChar w:fldCharType="separate"/>
      </w:r>
      <w:r w:rsidR="00026EED" w:rsidRPr="00026EED">
        <w:t>(Kaplan et al. 2014)</w:t>
      </w:r>
      <w:r w:rsidR="005454A8" w:rsidRPr="00C9564D">
        <w:fldChar w:fldCharType="end"/>
      </w:r>
      <w:r w:rsidR="00A57294" w:rsidRPr="00C9564D">
        <w:t>.</w:t>
      </w:r>
    </w:p>
    <w:p w14:paraId="45B128D9" w14:textId="77777777" w:rsidR="00E42ED3" w:rsidRPr="00C9564D" w:rsidRDefault="00E42ED3" w:rsidP="00A57294">
      <w:pPr>
        <w:spacing w:before="120" w:after="120"/>
        <w:jc w:val="both"/>
      </w:pPr>
    </w:p>
    <w:p w14:paraId="17E878EC" w14:textId="10E23F4B" w:rsidR="00BE3E0C" w:rsidRPr="00C9564D" w:rsidRDefault="00717D12" w:rsidP="008B7687">
      <w:pPr>
        <w:spacing w:before="120" w:after="120"/>
        <w:rPr>
          <w:b/>
          <w:bCs/>
        </w:rPr>
      </w:pPr>
      <w:r w:rsidRPr="00C9564D">
        <w:rPr>
          <w:b/>
          <w:bCs/>
        </w:rPr>
        <w:t>Planted Forest</w:t>
      </w:r>
    </w:p>
    <w:p w14:paraId="69BF1BEC" w14:textId="7277AFC0" w:rsidR="00717D12" w:rsidRPr="00C9564D" w:rsidRDefault="00C23418" w:rsidP="00BE3E0C">
      <w:pPr>
        <w:spacing w:before="120" w:after="120"/>
        <w:jc w:val="both"/>
      </w:pPr>
      <w:r w:rsidRPr="00C9564D">
        <w:t xml:space="preserve">Forest predominantly composed of trees established through planting and/or deliberate seeding </w:t>
      </w:r>
      <w:r w:rsidRPr="00C9564D">
        <w:fldChar w:fldCharType="begin"/>
      </w:r>
      <w:r w:rsidR="006D6C23" w:rsidRPr="00C9564D">
        <w:instrText xml:space="preserve"> ADDIN ZOTERO_ITEM CSL_CITATION {"citationID":"uAyRNaWP","properties":{"formattedCitation":"(FAO 2018)","plainCitation":"(FAO 2018)","noteIndex":0},"citationItems":[{"id":299,"uris":["http://zotero.org/users/6602900/items/4JTPU4LA"],"uri":["http://zotero.org/users/6602900/items/4JTPU4LA"],"itemData":{"id":299,"type":"book","collection-title":"FRA Working Paper","event-place":"Rome","ISBN":"978-92-5-109283-5","language":"en","number-of-pages":"26","publisher":"FAO","publisher-place":"Rome","source":"DOI.org (Crossref)","title":"Global Forest Resources Assessment - Terms and Definitions - FRA 2020","URL":"http://www.fao.org/3/I8661EN/i8661en.pdf","author":[{"family":"FAO","given":""}],"accessed":{"date-parts":[["2020",6,4]]},"issued":{"date-parts":[["2018"]]}}}],"schema":"https://github.com/citation-style-language/schema/raw/master/csl-citation.json"} </w:instrText>
      </w:r>
      <w:r w:rsidRPr="00C9564D">
        <w:fldChar w:fldCharType="separate"/>
      </w:r>
      <w:r w:rsidR="00026EED" w:rsidRPr="00026EED">
        <w:t>(FAO 2018)</w:t>
      </w:r>
      <w:r w:rsidRPr="00C9564D">
        <w:fldChar w:fldCharType="end"/>
      </w:r>
      <w:r w:rsidRPr="00C9564D">
        <w:t>.</w:t>
      </w:r>
      <w:r w:rsidR="003E2C24" w:rsidRPr="00C9564D">
        <w:t xml:space="preserve"> In this context forest means a land spanning more than 0.5 hectares with trees higher than 5 meters and a canopy cover of more than 10 percent, or trees able to reach these thresholds in situ. It does not include land that is predominantly under agricultural or urban land use, predominantly means that the planted/seeded trees are expected to constitute more than 50 percent of the growing stock at maturity. It Includes coppice from trees that were originally planted or seeded </w:t>
      </w:r>
      <w:r w:rsidR="003E2C24" w:rsidRPr="00C9564D">
        <w:fldChar w:fldCharType="begin"/>
      </w:r>
      <w:r w:rsidR="006D6C23" w:rsidRPr="00C9564D">
        <w:instrText xml:space="preserve"> ADDIN ZOTERO_ITEM CSL_CITATION {"citationID":"yPOcbsew","properties":{"formattedCitation":"(FAO 2018)","plainCitation":"(FAO 2018)","noteIndex":0},"citationItems":[{"id":299,"uris":["http://zotero.org/users/6602900/items/4JTPU4LA"],"uri":["http://zotero.org/users/6602900/items/4JTPU4LA"],"itemData":{"id":299,"type":"book","collection-title":"FRA Working Paper","event-place":"Rome","ISBN":"978-92-5-109283-5","language":"en","number-of-pages":"26","publisher":"FAO","publisher-place":"Rome","source":"DOI.org (Crossref)","title":"Global Forest Resources Assessment - Terms and Definitions - FRA 2020","URL":"http://www.fao.org/3/I8661EN/i8661en.pdf","author":[{"family":"FAO","given":""}],"accessed":{"date-parts":[["2020",6,4]]},"issued":{"date-parts":[["2018"]]}}}],"schema":"https://github.com/citation-style-language/schema/raw/master/csl-citation.json"} </w:instrText>
      </w:r>
      <w:r w:rsidR="003E2C24" w:rsidRPr="00C9564D">
        <w:fldChar w:fldCharType="separate"/>
      </w:r>
      <w:r w:rsidR="00026EED" w:rsidRPr="00026EED">
        <w:t>(FAO 2018)</w:t>
      </w:r>
      <w:r w:rsidR="003E2C24" w:rsidRPr="00C9564D">
        <w:fldChar w:fldCharType="end"/>
      </w:r>
      <w:r w:rsidR="003E2C24" w:rsidRPr="00C9564D">
        <w:t>.</w:t>
      </w:r>
    </w:p>
    <w:p w14:paraId="4E92EC26" w14:textId="60D3258A" w:rsidR="00717D12" w:rsidRPr="00C9564D" w:rsidRDefault="00717D12" w:rsidP="00BE3E0C">
      <w:pPr>
        <w:spacing w:before="120" w:after="120"/>
        <w:jc w:val="both"/>
      </w:pPr>
    </w:p>
    <w:p w14:paraId="2E0B4B81" w14:textId="65B81C67" w:rsidR="00855B0C" w:rsidRPr="00C9564D" w:rsidRDefault="00855B0C" w:rsidP="008B7687">
      <w:pPr>
        <w:spacing w:before="120" w:after="120"/>
        <w:rPr>
          <w:b/>
          <w:bCs/>
        </w:rPr>
      </w:pPr>
      <w:r w:rsidRPr="00C9564D">
        <w:rPr>
          <w:b/>
          <w:bCs/>
        </w:rPr>
        <w:t xml:space="preserve">Plantation Forest </w:t>
      </w:r>
    </w:p>
    <w:p w14:paraId="1F54063D" w14:textId="696F757D" w:rsidR="00855B0C" w:rsidRPr="00C9564D" w:rsidRDefault="00855B0C" w:rsidP="00BE3E0C">
      <w:pPr>
        <w:spacing w:before="120" w:after="120"/>
        <w:jc w:val="both"/>
      </w:pPr>
      <w:r w:rsidRPr="00C9564D">
        <w:t xml:space="preserve">Planted Forest that is intensively managed and meet </w:t>
      </w:r>
      <w:r w:rsidR="00650788" w:rsidRPr="00C9564D">
        <w:t>all</w:t>
      </w:r>
      <w:r w:rsidRPr="00C9564D">
        <w:t xml:space="preserve"> the following criteria at planting and stand maturity: one or two species, even age class, and regular spacing</w:t>
      </w:r>
      <w:r w:rsidR="00650788" w:rsidRPr="00C9564D">
        <w:t xml:space="preserve"> </w:t>
      </w:r>
      <w:r w:rsidRPr="00C9564D">
        <w:fldChar w:fldCharType="begin"/>
      </w:r>
      <w:r w:rsidR="006D6C23" w:rsidRPr="00C9564D">
        <w:instrText xml:space="preserve"> ADDIN ZOTERO_ITEM CSL_CITATION {"citationID":"ryDebztV","properties":{"formattedCitation":"(FAO 2018)","plainCitation":"(FAO 2018)","noteIndex":0},"citationItems":[{"id":299,"uris":["http://zotero.org/users/6602900/items/4JTPU4LA"],"uri":["http://zotero.org/users/6602900/items/4JTPU4LA"],"itemData":{"id":299,"type":"book","collection-title":"FRA Working Paper","event-place":"Rome","ISBN":"978-92-5-109283-5","language":"en","number-of-pages":"26","publisher":"FAO","publisher-place":"Rome","source":"DOI.org (Crossref)","title":"Global Forest Resources Assessment - Terms and Definitions - FRA 2020","URL":"http://www.fao.org/3/I8661EN/i8661en.pdf","author":[{"family":"FAO","given":""}],"accessed":{"date-parts":[["2020",6,4]]},"issued":{"date-parts":[["2018"]]}}}],"schema":"https://github.com/citation-style-language/schema/raw/master/csl-citation.json"} </w:instrText>
      </w:r>
      <w:r w:rsidRPr="00C9564D">
        <w:fldChar w:fldCharType="separate"/>
      </w:r>
      <w:r w:rsidR="00026EED" w:rsidRPr="00026EED">
        <w:t>(FAO 2018)</w:t>
      </w:r>
      <w:r w:rsidRPr="00C9564D">
        <w:fldChar w:fldCharType="end"/>
      </w:r>
      <w:r w:rsidRPr="00C9564D">
        <w:t>.</w:t>
      </w:r>
      <w:r w:rsidR="00650788" w:rsidRPr="00C9564D">
        <w:t xml:space="preserve"> Specifically includes: short rotation plantation for wood, fibre and energy. It specifically excludes: forest planted for protection or ecosystem restoration. It specifically excludes: forest established through planting or seeding which at stand maturity resembles or will resemble naturally regenerating forest.</w:t>
      </w:r>
    </w:p>
    <w:p w14:paraId="78E6E52B" w14:textId="77777777" w:rsidR="00124E44" w:rsidRPr="00C9564D" w:rsidRDefault="00124E44" w:rsidP="00BE3E0C">
      <w:pPr>
        <w:spacing w:before="120" w:after="120"/>
        <w:jc w:val="both"/>
      </w:pPr>
    </w:p>
    <w:p w14:paraId="24330D1C" w14:textId="497EB1C2" w:rsidR="00855B0C" w:rsidRPr="00C9564D" w:rsidRDefault="00124E44" w:rsidP="008B7687">
      <w:pPr>
        <w:spacing w:before="120" w:after="120"/>
        <w:rPr>
          <w:b/>
          <w:bCs/>
        </w:rPr>
      </w:pPr>
      <w:r w:rsidRPr="00C9564D">
        <w:rPr>
          <w:b/>
          <w:bCs/>
        </w:rPr>
        <w:t>Other Planted Forest</w:t>
      </w:r>
    </w:p>
    <w:p w14:paraId="14DC21EF" w14:textId="4712EE63" w:rsidR="00650788" w:rsidRPr="00C9564D" w:rsidRDefault="00124E44" w:rsidP="00BE3E0C">
      <w:pPr>
        <w:spacing w:before="120" w:after="120"/>
        <w:jc w:val="both"/>
      </w:pPr>
      <w:r w:rsidRPr="00C9564D">
        <w:t xml:space="preserve">Planted forest which is not classified as plantation forest </w:t>
      </w:r>
      <w:r w:rsidRPr="00C9564D">
        <w:fldChar w:fldCharType="begin"/>
      </w:r>
      <w:r w:rsidR="006D6C23" w:rsidRPr="00C9564D">
        <w:instrText xml:space="preserve"> ADDIN ZOTERO_ITEM CSL_CITATION {"citationID":"nV90zveg","properties":{"formattedCitation":"(FAO 2018)","plainCitation":"(FAO 2018)","noteIndex":0},"citationItems":[{"id":299,"uris":["http://zotero.org/users/6602900/items/4JTPU4LA"],"uri":["http://zotero.org/users/6602900/items/4JTPU4LA"],"itemData":{"id":299,"type":"book","collection-title":"FRA Working Paper","event-place":"Rome","ISBN":"978-92-5-109283-5","language":"en","number-of-pages":"26","publisher":"FAO","publisher-place":"Rome","source":"DOI.org (Crossref)","title":"Global Forest Resources Assessment - Terms and Definitions - FRA 2020","URL":"http://www.fao.org/3/I8661EN/i8661en.pdf","author":[{"family":"FAO","given":""}],"accessed":{"date-parts":[["2020",6,4]]},"issued":{"date-parts":[["2018"]]}}}],"schema":"https://github.com/citation-style-language/schema/raw/master/csl-citation.json"} </w:instrText>
      </w:r>
      <w:r w:rsidRPr="00C9564D">
        <w:fldChar w:fldCharType="separate"/>
      </w:r>
      <w:r w:rsidR="00026EED" w:rsidRPr="00026EED">
        <w:t>(FAO 2018)</w:t>
      </w:r>
      <w:r w:rsidRPr="00C9564D">
        <w:fldChar w:fldCharType="end"/>
      </w:r>
      <w:r w:rsidRPr="00C9564D">
        <w:t xml:space="preserve">. Planted forests which are not intensively managed, and they may resemble natural forests at stand maturity. The purposes of other planted forests may include ecosystem restoration and the protection of soil and water value </w:t>
      </w:r>
      <w:r w:rsidRPr="00C9564D">
        <w:fldChar w:fldCharType="begin"/>
      </w:r>
      <w:r w:rsidRPr="00C9564D">
        <w:instrText xml:space="preserve"> ADDIN ZOTERO_ITEM CSL_CITATION {"citationID":"CL6yWCav","properties":{"formattedCitation":"(FAO 2020)","plainCitation":"(FAO 2020)","noteIndex":0},"citationItems":[{"id":169,"uris":["http://zotero.org/users/6602900/items/WIBSS5KG"],"uri":["http://zotero.org/users/6602900/items/WIBSS5KG"],"itemData":{"id":169,"type":"book","event-place":"Rome","ISBN":"978-92-5-132581-0","language":"en","note":"DOI: 10.4060/ca8753en","number-of-pages":"16","publisher":"FAO","publisher-place":"Rome","source":"DOI.org (Crossref)","title":"Global Forest Resources Assessment 2020","URL":"http://www.fao.org/documents/card/en/c/ca8753en","author":[{"family":"FAO","given":""}],"accessed":{"date-parts":[["2020",5,10]]},"issued":{"date-parts":[["2020"]]}}}],"schema":"https://github.com/citation-style-language/schema/raw/master/csl-citation.json"} </w:instrText>
      </w:r>
      <w:r w:rsidRPr="00C9564D">
        <w:fldChar w:fldCharType="separate"/>
      </w:r>
      <w:r w:rsidR="00026EED" w:rsidRPr="00026EED">
        <w:t>(FAO 2020)</w:t>
      </w:r>
      <w:r w:rsidRPr="00C9564D">
        <w:fldChar w:fldCharType="end"/>
      </w:r>
      <w:r w:rsidRPr="00C9564D">
        <w:t>.</w:t>
      </w:r>
    </w:p>
    <w:p w14:paraId="02293D9E" w14:textId="75755922" w:rsidR="005454A8" w:rsidRPr="00C9564D" w:rsidRDefault="005454A8" w:rsidP="00BE3E0C">
      <w:pPr>
        <w:spacing w:before="120" w:after="120"/>
        <w:jc w:val="both"/>
      </w:pPr>
    </w:p>
    <w:p w14:paraId="182A98AB" w14:textId="12F370FB" w:rsidR="005454A8" w:rsidRPr="00C9564D" w:rsidRDefault="005454A8" w:rsidP="00BE3E0C">
      <w:pPr>
        <w:spacing w:before="120" w:after="120"/>
        <w:jc w:val="both"/>
        <w:rPr>
          <w:b/>
          <w:bCs/>
        </w:rPr>
      </w:pPr>
      <w:r w:rsidRPr="00C9564D">
        <w:rPr>
          <w:b/>
          <w:bCs/>
        </w:rPr>
        <w:t>Urban forest</w:t>
      </w:r>
    </w:p>
    <w:p w14:paraId="31E96AC8" w14:textId="3693C259" w:rsidR="005454A8" w:rsidRPr="00C9564D" w:rsidRDefault="00D06125" w:rsidP="00BE3E0C">
      <w:pPr>
        <w:spacing w:before="120" w:after="120"/>
        <w:jc w:val="both"/>
      </w:pPr>
      <w:r w:rsidRPr="00C9564D">
        <w:t>A n</w:t>
      </w:r>
      <w:r w:rsidR="005454A8" w:rsidRPr="00C9564D">
        <w:t xml:space="preserve">etwork or systems comprising all woodlands, groups of trees, and individual trees located in urban and peri-urban areas; </w:t>
      </w:r>
      <w:r w:rsidRPr="00C9564D">
        <w:t>it</w:t>
      </w:r>
      <w:r w:rsidR="005454A8" w:rsidRPr="00C9564D">
        <w:t xml:space="preserve"> include</w:t>
      </w:r>
      <w:r w:rsidRPr="00C9564D">
        <w:t>s</w:t>
      </w:r>
      <w:r w:rsidR="005454A8" w:rsidRPr="00C9564D">
        <w:t>, therefore, forests, street trees, trees in parks and gardens, and trees in derelict corners. Urban forests are the backbone of the green infrastructure, bridging rural and urban areas and ameliorating a city’s environmental footprint (</w:t>
      </w:r>
      <w:hyperlink r:id="rId8" w:history="1">
        <w:r w:rsidR="005454A8" w:rsidRPr="00C9564D">
          <w:rPr>
            <w:rStyle w:val="Hyperlink"/>
            <w:color w:val="auto"/>
            <w:u w:val="none"/>
          </w:rPr>
          <w:t>http://www.fao.org/forestry/urbanforestry/87025/en/</w:t>
        </w:r>
      </w:hyperlink>
      <w:r w:rsidR="005454A8" w:rsidRPr="00C9564D">
        <w:t xml:space="preserve">). </w:t>
      </w:r>
      <w:r w:rsidR="005454A8" w:rsidRPr="00C9564D">
        <w:rPr>
          <w:b/>
          <w:bCs/>
        </w:rPr>
        <w:t>Urban forestry</w:t>
      </w:r>
      <w:r w:rsidR="005454A8" w:rsidRPr="00C9564D">
        <w:t xml:space="preserve"> is generally defined as the art, science and technology of managing trees and forest resources in and around urban community ecosystems for the physiological, sociological, economic, and aesthetic benefits trees provide society </w:t>
      </w:r>
      <w:r w:rsidR="005454A8" w:rsidRPr="00C9564D">
        <w:fldChar w:fldCharType="begin"/>
      </w:r>
      <w:r w:rsidR="005454A8" w:rsidRPr="00C9564D">
        <w:instrText xml:space="preserve"> ADDIN ZOTERO_ITEM CSL_CITATION {"citationID":"rM7jEBNH","properties":{"formattedCitation":"(Konijnendijk et al. 2006)","plainCitation":"(Konijnendijk et al. 2006)","noteIndex":0},"citationItems":[{"id":577,"uris":["http://zotero.org/users/6602900/items/RZK6CFB5"],"uri":["http://zotero.org/users/6602900/items/RZK6CFB5"],"itemData":{"id":577,"type":"article-journal","abstract":"Urban forestry is generally defined as the art, science and technology of managing trees and forest resources in and around urban community ecosystems for the physiological, sociological, economic, and aesthetic benefits trees provide society. First mentioned in the United States as early as in 1894, the concept underwent a revival during the 1960s as a comprehensive and interdisciplinary approach to the specific challenges related to growing trees in urban environments. Later, urban forestry evoked the interest of scientists and practitioners in other parts of the world. However, harmonization of urban forestry terminology has been complicated by, for example, the involvement of different disciplines and translation difficulties. In many European languages, for example, the direct translation of ‘urban forestry’ relates more to forest ecosystems than to street and park trees. Efforts in North America and Europe defining ‘urban forest’, ‘urban forestry’ and related terms are introduced. A comparative analysis of selected urban forestry terminology in both parts of the world shows that urban forestry has a longer history in North America, based on traditions of shade tree management. Moreover, urban forestry has become more institutionalized in North America. Urban forestry in Europe has built strongly on a century-long tradition of ‘town forestry’. In both parts of the world, definitions of urban forestry and urban forest have become more comprehensive, including all tree stands and individual trees in and around urban areas. Agreement also exists on the multifunctional and multidisciplinary character of urban forestry. These similarities offer opportunities for international harmonization of terminology.","container-title":"Urban Forestry &amp; Urban Greening","DOI":"10.1016/j.ufug.2005.11.003","ISSN":"1618-8667","issue":"3","journalAbbreviation":"Urban Forestry &amp; Urban Greening","page":"93-103","title":"Defining urban forestry – A comparative perspective of North America and Europe","volume":"4","author":[{"family":"Konijnendijk","given":"Cecil C."},{"family":"Ricard","given":"Robert M."},{"family":"Kenney","given":"Andy"},{"family":"Randrup","given":"Thomas B."}],"issued":{"date-parts":[["2006",4,3]]}}}],"schema":"https://github.com/citation-style-language/schema/raw/master/csl-citation.json"} </w:instrText>
      </w:r>
      <w:r w:rsidR="005454A8" w:rsidRPr="00C9564D">
        <w:fldChar w:fldCharType="separate"/>
      </w:r>
      <w:r w:rsidR="00026EED" w:rsidRPr="00026EED">
        <w:t>(Konijnendijk et al. 2006)</w:t>
      </w:r>
      <w:r w:rsidR="005454A8" w:rsidRPr="00C9564D">
        <w:fldChar w:fldCharType="end"/>
      </w:r>
      <w:r w:rsidR="005454A8" w:rsidRPr="00C9564D">
        <w:t>.</w:t>
      </w:r>
    </w:p>
    <w:p w14:paraId="630413DE" w14:textId="77777777" w:rsidR="005454A8" w:rsidRPr="00C9564D" w:rsidRDefault="005454A8" w:rsidP="00BE3E0C">
      <w:pPr>
        <w:spacing w:before="120" w:after="120"/>
        <w:jc w:val="both"/>
      </w:pPr>
    </w:p>
    <w:p w14:paraId="2C030338" w14:textId="00D78C80" w:rsidR="00124E44" w:rsidRPr="00C9564D" w:rsidRDefault="00124E44" w:rsidP="00BE3E0C">
      <w:pPr>
        <w:spacing w:before="120" w:after="120"/>
        <w:jc w:val="both"/>
      </w:pPr>
    </w:p>
    <w:p w14:paraId="20B94567" w14:textId="77777777" w:rsidR="007D410D" w:rsidRPr="00C9564D" w:rsidRDefault="007D410D" w:rsidP="00A57294">
      <w:pPr>
        <w:spacing w:before="120" w:after="120"/>
        <w:jc w:val="both"/>
        <w:sectPr w:rsidR="007D410D" w:rsidRPr="00C9564D" w:rsidSect="003A3BDF">
          <w:headerReference w:type="even" r:id="rId9"/>
          <w:headerReference w:type="default" r:id="rId10"/>
          <w:footerReference w:type="even" r:id="rId11"/>
          <w:pgSz w:w="12240" w:h="15840"/>
          <w:pgMar w:top="1134" w:right="1418" w:bottom="1134" w:left="1425" w:header="709" w:footer="709" w:gutter="0"/>
          <w:lnNumType w:countBy="1" w:restart="continuous"/>
          <w:cols w:space="720"/>
          <w:titlePg/>
          <w:docGrid w:linePitch="600" w:charSpace="32768"/>
        </w:sectPr>
      </w:pPr>
    </w:p>
    <w:p w14:paraId="07513946" w14:textId="520EE6CE" w:rsidR="007D410D" w:rsidRPr="00C9564D" w:rsidRDefault="007D410D" w:rsidP="00A57294">
      <w:pPr>
        <w:spacing w:before="120" w:after="120"/>
        <w:jc w:val="both"/>
      </w:pPr>
    </w:p>
    <w:p w14:paraId="36C0F74B" w14:textId="77777777" w:rsidR="0014522C" w:rsidRPr="00C9564D" w:rsidRDefault="0014522C" w:rsidP="00A57294">
      <w:pPr>
        <w:spacing w:before="120" w:after="120"/>
        <w:jc w:val="both"/>
      </w:pPr>
    </w:p>
    <w:p w14:paraId="2E46CFFD" w14:textId="3D399921" w:rsidR="00A57294" w:rsidRPr="00C9564D" w:rsidRDefault="00AF6900" w:rsidP="00A57294">
      <w:pPr>
        <w:spacing w:before="120" w:after="120"/>
        <w:jc w:val="both"/>
        <w:rPr>
          <w:i/>
        </w:rPr>
      </w:pPr>
      <w:r w:rsidRPr="00C9564D">
        <w:rPr>
          <w:b/>
          <w:bCs/>
          <w:color w:val="C45911" w:themeColor="accent2" w:themeShade="BF"/>
        </w:rPr>
        <w:t>Table</w:t>
      </w:r>
      <w:r w:rsidR="00A57294" w:rsidRPr="00C9564D">
        <w:rPr>
          <w:b/>
          <w:bCs/>
          <w:color w:val="C45911" w:themeColor="accent2" w:themeShade="BF"/>
        </w:rPr>
        <w:t xml:space="preserve"> </w:t>
      </w:r>
      <w:r w:rsidR="00B50045" w:rsidRPr="00C9564D">
        <w:rPr>
          <w:b/>
          <w:bCs/>
          <w:color w:val="C45911" w:themeColor="accent2" w:themeShade="BF"/>
        </w:rPr>
        <w:t>1</w:t>
      </w:r>
      <w:r w:rsidR="00A57294" w:rsidRPr="00C9564D">
        <w:rPr>
          <w:b/>
          <w:bCs/>
          <w:color w:val="C45911" w:themeColor="accent2" w:themeShade="BF"/>
        </w:rPr>
        <w:t>S</w:t>
      </w:r>
      <w:r w:rsidRPr="00C9564D">
        <w:rPr>
          <w:b/>
          <w:bCs/>
          <w:color w:val="C45911" w:themeColor="accent2" w:themeShade="BF"/>
        </w:rPr>
        <w:t>.</w:t>
      </w:r>
      <w:r w:rsidR="008B7687" w:rsidRPr="00C9564D">
        <w:rPr>
          <w:b/>
          <w:bCs/>
          <w:color w:val="000000" w:themeColor="text1"/>
        </w:rPr>
        <w:t xml:space="preserve"> </w:t>
      </w:r>
      <w:r w:rsidR="00A57294" w:rsidRPr="00C9564D">
        <w:t>Non-native tree species in planted forests and for other uses:</w:t>
      </w:r>
      <w:r w:rsidR="006E4A44" w:rsidRPr="00C9564D">
        <w:t xml:space="preserve"> </w:t>
      </w:r>
      <w:r w:rsidR="00A57294" w:rsidRPr="00C9564D">
        <w:t>historical and recent pathways of introduction.</w:t>
      </w:r>
    </w:p>
    <w:p w14:paraId="0AB4B388" w14:textId="77777777" w:rsidR="00A57294" w:rsidRPr="00C9564D" w:rsidRDefault="00A57294" w:rsidP="00A57294">
      <w:pPr>
        <w:spacing w:before="120" w:after="120"/>
        <w:jc w:val="both"/>
        <w:rPr>
          <w:color w:val="000000" w:themeColor="text1"/>
        </w:rPr>
      </w:pPr>
    </w:p>
    <w:p w14:paraId="51582266" w14:textId="77777777" w:rsidR="00A57294" w:rsidRPr="00C9564D" w:rsidRDefault="00A57294" w:rsidP="00A57294">
      <w:pPr>
        <w:spacing w:before="120" w:after="120"/>
        <w:jc w:val="both"/>
        <w:rPr>
          <w:color w:val="000000" w:themeColor="text1"/>
        </w:rPr>
      </w:pPr>
    </w:p>
    <w:tbl>
      <w:tblPr>
        <w:tblStyle w:val="TableGrid"/>
        <w:tblW w:w="13585" w:type="dxa"/>
        <w:tblLook w:val="04A0" w:firstRow="1" w:lastRow="0" w:firstColumn="1" w:lastColumn="0" w:noHBand="0" w:noVBand="1"/>
      </w:tblPr>
      <w:tblGrid>
        <w:gridCol w:w="3129"/>
        <w:gridCol w:w="3129"/>
        <w:gridCol w:w="7327"/>
      </w:tblGrid>
      <w:tr w:rsidR="00A57294" w:rsidRPr="00C9564D" w14:paraId="5A643162" w14:textId="77777777" w:rsidTr="00830EE5">
        <w:tc>
          <w:tcPr>
            <w:tcW w:w="3129" w:type="dxa"/>
          </w:tcPr>
          <w:p w14:paraId="3D2C9386" w14:textId="77777777" w:rsidR="00A57294" w:rsidRPr="00C9564D" w:rsidRDefault="00A57294" w:rsidP="00D06125">
            <w:pPr>
              <w:spacing w:before="120" w:after="120"/>
              <w:jc w:val="center"/>
              <w:rPr>
                <w:b/>
                <w:bCs/>
                <w:color w:val="000000" w:themeColor="text1"/>
              </w:rPr>
            </w:pPr>
            <w:r w:rsidRPr="00C9564D">
              <w:rPr>
                <w:b/>
                <w:bCs/>
                <w:color w:val="000000" w:themeColor="text1"/>
              </w:rPr>
              <w:t xml:space="preserve">Purpose of the plantation </w:t>
            </w:r>
            <w:r w:rsidRPr="00C9564D">
              <w:rPr>
                <w:color w:val="000000" w:themeColor="text1"/>
              </w:rPr>
              <w:t>and related</w:t>
            </w:r>
            <w:r w:rsidRPr="00C9564D">
              <w:rPr>
                <w:b/>
                <w:bCs/>
                <w:color w:val="000000" w:themeColor="text1"/>
              </w:rPr>
              <w:t xml:space="preserve"> </w:t>
            </w:r>
            <w:r w:rsidRPr="00C9564D">
              <w:rPr>
                <w:b/>
                <w:bCs/>
                <w:color w:val="2F5496" w:themeColor="accent1" w:themeShade="BF"/>
              </w:rPr>
              <w:t>CBD Pathway for introduction</w:t>
            </w:r>
          </w:p>
        </w:tc>
        <w:tc>
          <w:tcPr>
            <w:tcW w:w="3129" w:type="dxa"/>
          </w:tcPr>
          <w:p w14:paraId="722447CE" w14:textId="77777777" w:rsidR="00A57294" w:rsidRPr="00C9564D" w:rsidRDefault="00A57294" w:rsidP="00D06125">
            <w:pPr>
              <w:spacing w:before="120" w:after="120"/>
              <w:jc w:val="center"/>
              <w:rPr>
                <w:b/>
                <w:bCs/>
                <w:color w:val="000000" w:themeColor="text1"/>
              </w:rPr>
            </w:pPr>
            <w:r w:rsidRPr="00C9564D">
              <w:rPr>
                <w:b/>
                <w:bCs/>
                <w:color w:val="000000" w:themeColor="text1"/>
              </w:rPr>
              <w:t>Species (examples)</w:t>
            </w:r>
          </w:p>
        </w:tc>
        <w:tc>
          <w:tcPr>
            <w:tcW w:w="7327" w:type="dxa"/>
          </w:tcPr>
          <w:p w14:paraId="74E398A7" w14:textId="77777777" w:rsidR="00A57294" w:rsidRPr="00C9564D" w:rsidRDefault="00A57294" w:rsidP="00D06125">
            <w:pPr>
              <w:spacing w:before="120" w:after="120"/>
              <w:jc w:val="center"/>
              <w:rPr>
                <w:b/>
                <w:bCs/>
                <w:color w:val="000000" w:themeColor="text1"/>
              </w:rPr>
            </w:pPr>
            <w:r w:rsidRPr="00C9564D">
              <w:rPr>
                <w:b/>
                <w:bCs/>
                <w:color w:val="000000" w:themeColor="text1"/>
              </w:rPr>
              <w:t>Benefits &amp; Risks</w:t>
            </w:r>
          </w:p>
        </w:tc>
      </w:tr>
      <w:tr w:rsidR="00A57294" w:rsidRPr="00C9564D" w14:paraId="23A1B9AA" w14:textId="77777777" w:rsidTr="00830EE5">
        <w:tc>
          <w:tcPr>
            <w:tcW w:w="3129" w:type="dxa"/>
          </w:tcPr>
          <w:p w14:paraId="50C75A09" w14:textId="77777777" w:rsidR="00A57294" w:rsidRPr="00C9564D" w:rsidRDefault="00A57294" w:rsidP="00D06125">
            <w:pPr>
              <w:spacing w:before="120" w:after="120"/>
              <w:jc w:val="both"/>
              <w:rPr>
                <w:color w:val="000000" w:themeColor="text1"/>
              </w:rPr>
            </w:pPr>
            <w:r w:rsidRPr="00C9564D">
              <w:rPr>
                <w:color w:val="000000" w:themeColor="text1"/>
              </w:rPr>
              <w:t>Industrial Forestry</w:t>
            </w:r>
          </w:p>
          <w:p w14:paraId="0AD5F885" w14:textId="77777777" w:rsidR="00A57294" w:rsidRPr="00C9564D" w:rsidRDefault="00A57294" w:rsidP="00D06125">
            <w:pPr>
              <w:spacing w:before="120" w:after="120"/>
              <w:rPr>
                <w:color w:val="000000" w:themeColor="text1"/>
              </w:rPr>
            </w:pPr>
            <w:r w:rsidRPr="00C9564D">
              <w:rPr>
                <w:color w:val="2F5496" w:themeColor="accent1" w:themeShade="BF"/>
              </w:rPr>
              <w:t>[ESCAPE from confinement, Forestry (including afforestation or reforestation)]</w:t>
            </w:r>
          </w:p>
        </w:tc>
        <w:tc>
          <w:tcPr>
            <w:tcW w:w="3129" w:type="dxa"/>
          </w:tcPr>
          <w:p w14:paraId="1282F294" w14:textId="77777777" w:rsidR="00A57294" w:rsidRPr="00C9564D" w:rsidRDefault="00A57294" w:rsidP="00D06125">
            <w:pPr>
              <w:spacing w:before="120" w:after="120"/>
              <w:jc w:val="both"/>
              <w:rPr>
                <w:color w:val="000000" w:themeColor="text1"/>
              </w:rPr>
            </w:pPr>
            <w:r w:rsidRPr="00C9564D">
              <w:rPr>
                <w:color w:val="000000" w:themeColor="text1"/>
              </w:rPr>
              <w:t>(many)</w:t>
            </w:r>
          </w:p>
          <w:p w14:paraId="4DABB359" w14:textId="51F4E838" w:rsidR="007E7FED" w:rsidRPr="00C9564D" w:rsidRDefault="00947EE9" w:rsidP="00D06125">
            <w:pPr>
              <w:spacing w:before="120" w:after="120"/>
              <w:jc w:val="both"/>
              <w:rPr>
                <w:color w:val="000000" w:themeColor="text1"/>
              </w:rPr>
            </w:pPr>
            <w:r w:rsidRPr="00C9564D">
              <w:rPr>
                <w:color w:val="000000" w:themeColor="text1"/>
              </w:rPr>
              <w:t>For example, e</w:t>
            </w:r>
            <w:r w:rsidR="007E7FED" w:rsidRPr="00C9564D">
              <w:rPr>
                <w:color w:val="000000" w:themeColor="text1"/>
              </w:rPr>
              <w:t xml:space="preserve">specially </w:t>
            </w:r>
            <w:r w:rsidR="007E7FED" w:rsidRPr="00C9564D">
              <w:rPr>
                <w:i/>
                <w:iCs/>
                <w:color w:val="000000" w:themeColor="text1"/>
              </w:rPr>
              <w:t xml:space="preserve">Pinus, Eucalyptus </w:t>
            </w:r>
            <w:r w:rsidR="007E7FED" w:rsidRPr="00C9564D">
              <w:rPr>
                <w:color w:val="000000" w:themeColor="text1"/>
              </w:rPr>
              <w:t xml:space="preserve">and </w:t>
            </w:r>
            <w:r w:rsidR="007E7FED" w:rsidRPr="00C9564D">
              <w:rPr>
                <w:i/>
                <w:iCs/>
                <w:color w:val="000000" w:themeColor="text1"/>
              </w:rPr>
              <w:t xml:space="preserve">Acacia </w:t>
            </w:r>
            <w:r w:rsidR="007E7FED" w:rsidRPr="00C9564D">
              <w:rPr>
                <w:color w:val="000000" w:themeColor="text1"/>
              </w:rPr>
              <w:t>species in Brazil</w:t>
            </w:r>
          </w:p>
        </w:tc>
        <w:tc>
          <w:tcPr>
            <w:tcW w:w="7327" w:type="dxa"/>
          </w:tcPr>
          <w:p w14:paraId="4F0C3D8A" w14:textId="4D6FF437" w:rsidR="00A57294" w:rsidRPr="00C9564D" w:rsidRDefault="00A57294" w:rsidP="00D06125">
            <w:pPr>
              <w:spacing w:before="120" w:after="120"/>
              <w:jc w:val="both"/>
              <w:rPr>
                <w:color w:val="000000" w:themeColor="text1"/>
              </w:rPr>
            </w:pPr>
            <w:r w:rsidRPr="00C9564D">
              <w:rPr>
                <w:color w:val="000000" w:themeColor="text1"/>
              </w:rPr>
              <w:t>Planted forests designed to provide multiple ecosystem services can reduce pressure on natural forests, and can even restore some ecological services provided by natural forests</w:t>
            </w:r>
            <w:r w:rsidR="00494CC8" w:rsidRPr="00C9564D">
              <w:rPr>
                <w:color w:val="000000" w:themeColor="text1"/>
              </w:rPr>
              <w:t>.</w:t>
            </w:r>
          </w:p>
        </w:tc>
      </w:tr>
      <w:tr w:rsidR="00A57294" w:rsidRPr="00C9564D" w14:paraId="6897F8AB" w14:textId="77777777" w:rsidTr="00830EE5">
        <w:tc>
          <w:tcPr>
            <w:tcW w:w="3129" w:type="dxa"/>
          </w:tcPr>
          <w:p w14:paraId="0E5C8321" w14:textId="77777777" w:rsidR="00A57294" w:rsidRPr="00C9564D" w:rsidRDefault="00A57294" w:rsidP="00D06125">
            <w:pPr>
              <w:spacing w:before="120" w:after="120"/>
              <w:jc w:val="both"/>
              <w:rPr>
                <w:color w:val="000000" w:themeColor="text1"/>
              </w:rPr>
            </w:pPr>
            <w:r w:rsidRPr="00C9564D">
              <w:rPr>
                <w:color w:val="000000" w:themeColor="text1"/>
              </w:rPr>
              <w:t>Forest trials</w:t>
            </w:r>
          </w:p>
          <w:p w14:paraId="0E1F50B3" w14:textId="77777777" w:rsidR="00A57294" w:rsidRPr="00C9564D" w:rsidRDefault="00A57294" w:rsidP="00D06125">
            <w:pPr>
              <w:spacing w:before="120" w:after="120"/>
              <w:jc w:val="both"/>
              <w:rPr>
                <w:color w:val="000000" w:themeColor="text1"/>
              </w:rPr>
            </w:pPr>
            <w:r w:rsidRPr="00C9564D">
              <w:rPr>
                <w:color w:val="2F5496" w:themeColor="accent1" w:themeShade="BF"/>
              </w:rPr>
              <w:t>[ESCAPE from confinement, Research and ex-situ breeding (in facilities)]</w:t>
            </w:r>
          </w:p>
        </w:tc>
        <w:tc>
          <w:tcPr>
            <w:tcW w:w="3129" w:type="dxa"/>
          </w:tcPr>
          <w:p w14:paraId="227653FF" w14:textId="77777777" w:rsidR="008B7687" w:rsidRPr="00C9564D" w:rsidRDefault="008B7687" w:rsidP="008B7687">
            <w:pPr>
              <w:spacing w:before="120" w:after="120"/>
              <w:jc w:val="both"/>
              <w:rPr>
                <w:color w:val="000000" w:themeColor="text1"/>
              </w:rPr>
            </w:pPr>
            <w:r w:rsidRPr="00C9564D">
              <w:rPr>
                <w:color w:val="000000" w:themeColor="text1"/>
              </w:rPr>
              <w:t>(many)</w:t>
            </w:r>
          </w:p>
          <w:p w14:paraId="62678FFC" w14:textId="77777777" w:rsidR="00A57294" w:rsidRPr="00C9564D" w:rsidRDefault="00A57294" w:rsidP="00D06125">
            <w:pPr>
              <w:spacing w:before="120" w:after="120"/>
              <w:jc w:val="both"/>
              <w:rPr>
                <w:color w:val="000000" w:themeColor="text1"/>
              </w:rPr>
            </w:pPr>
          </w:p>
        </w:tc>
        <w:tc>
          <w:tcPr>
            <w:tcW w:w="7327" w:type="dxa"/>
          </w:tcPr>
          <w:p w14:paraId="3A0B8FCA" w14:textId="3B7D9013" w:rsidR="00A57294" w:rsidRPr="00C9564D" w:rsidRDefault="00A57294" w:rsidP="00D06125">
            <w:pPr>
              <w:spacing w:before="120" w:after="120"/>
              <w:jc w:val="both"/>
              <w:rPr>
                <w:color w:val="000000" w:themeColor="text1"/>
              </w:rPr>
            </w:pPr>
            <w:r w:rsidRPr="00C9564D">
              <w:rPr>
                <w:color w:val="000000" w:themeColor="text1"/>
              </w:rPr>
              <w:t>Provenance trials</w:t>
            </w:r>
            <w:r w:rsidR="00D06125" w:rsidRPr="00C9564D">
              <w:rPr>
                <w:color w:val="000000" w:themeColor="text1"/>
              </w:rPr>
              <w:t xml:space="preserve">. The term provenance refers to the geographic source of seed or plant material or to the plants from such a source. It is generally true that tree species with a wide geographical distribution exhibit considerable provenance variation in anatomy, morphology and physiology. Provenance trials can be used to identify the most </w:t>
            </w:r>
            <w:r w:rsidR="001E1309" w:rsidRPr="00C9564D">
              <w:rPr>
                <w:color w:val="000000" w:themeColor="text1"/>
              </w:rPr>
              <w:t>productive and</w:t>
            </w:r>
            <w:r w:rsidR="00D06125" w:rsidRPr="00C9564D">
              <w:rPr>
                <w:color w:val="000000" w:themeColor="text1"/>
              </w:rPr>
              <w:t xml:space="preserve"> best adapted seed sources for commercial or other uses.</w:t>
            </w:r>
          </w:p>
        </w:tc>
      </w:tr>
      <w:tr w:rsidR="00A57294" w:rsidRPr="00C9564D" w14:paraId="4B0D90D4" w14:textId="77777777" w:rsidTr="00830EE5">
        <w:tc>
          <w:tcPr>
            <w:tcW w:w="3129" w:type="dxa"/>
          </w:tcPr>
          <w:p w14:paraId="292BB27B" w14:textId="6708EB65" w:rsidR="00A57294" w:rsidRPr="00C9564D" w:rsidRDefault="0008596B" w:rsidP="00830EE5">
            <w:pPr>
              <w:spacing w:before="120" w:after="120"/>
              <w:rPr>
                <w:color w:val="000000" w:themeColor="text1"/>
              </w:rPr>
            </w:pPr>
            <w:r w:rsidRPr="00C9564D">
              <w:rPr>
                <w:color w:val="000000" w:themeColor="text1"/>
              </w:rPr>
              <w:t xml:space="preserve">Mitigating </w:t>
            </w:r>
            <w:r w:rsidR="00A57294" w:rsidRPr="00C9564D">
              <w:rPr>
                <w:color w:val="000000" w:themeColor="text1"/>
              </w:rPr>
              <w:t>climate change (voluntary or legal commitments)</w:t>
            </w:r>
          </w:p>
          <w:p w14:paraId="0C6AE3EA" w14:textId="77777777" w:rsidR="00A57294" w:rsidRPr="00C9564D" w:rsidRDefault="00A57294" w:rsidP="00D06125">
            <w:pPr>
              <w:spacing w:before="120" w:after="120"/>
              <w:jc w:val="both"/>
              <w:rPr>
                <w:color w:val="000000" w:themeColor="text1"/>
              </w:rPr>
            </w:pPr>
            <w:r w:rsidRPr="00C9564D">
              <w:rPr>
                <w:color w:val="2F5496" w:themeColor="accent1" w:themeShade="BF"/>
              </w:rPr>
              <w:t>[RELEASE in nature, Other intentional release]</w:t>
            </w:r>
          </w:p>
        </w:tc>
        <w:tc>
          <w:tcPr>
            <w:tcW w:w="3129" w:type="dxa"/>
          </w:tcPr>
          <w:p w14:paraId="7BB64991" w14:textId="77777777" w:rsidR="00A57294" w:rsidRPr="00C9564D" w:rsidRDefault="00A57294" w:rsidP="00D06125">
            <w:pPr>
              <w:spacing w:before="120" w:after="120"/>
              <w:jc w:val="both"/>
              <w:rPr>
                <w:color w:val="000000" w:themeColor="text1"/>
              </w:rPr>
            </w:pPr>
            <w:r w:rsidRPr="00C9564D">
              <w:rPr>
                <w:color w:val="000000" w:themeColor="text1"/>
              </w:rPr>
              <w:t>(many)</w:t>
            </w:r>
          </w:p>
        </w:tc>
        <w:tc>
          <w:tcPr>
            <w:tcW w:w="7327" w:type="dxa"/>
          </w:tcPr>
          <w:p w14:paraId="1B313D68" w14:textId="2659DAD5" w:rsidR="00A57294" w:rsidRPr="00C9564D" w:rsidRDefault="00571671" w:rsidP="00D06125">
            <w:pPr>
              <w:spacing w:before="120" w:after="120"/>
              <w:jc w:val="both"/>
              <w:rPr>
                <w:color w:val="000000" w:themeColor="text1"/>
              </w:rPr>
            </w:pPr>
            <w:r w:rsidRPr="00C9564D">
              <w:rPr>
                <w:color w:val="000000" w:themeColor="text1"/>
              </w:rPr>
              <w:t>T</w:t>
            </w:r>
            <w:r w:rsidR="00D06125" w:rsidRPr="00C9564D">
              <w:rPr>
                <w:color w:val="000000" w:themeColor="text1"/>
              </w:rPr>
              <w:t xml:space="preserve">able 1 in the </w:t>
            </w:r>
            <w:r w:rsidR="00E24FEF" w:rsidRPr="00C9564D">
              <w:rPr>
                <w:color w:val="000000" w:themeColor="text1"/>
              </w:rPr>
              <w:t>main text</w:t>
            </w:r>
            <w:r w:rsidRPr="00C9564D">
              <w:rPr>
                <w:color w:val="000000" w:themeColor="text1"/>
              </w:rPr>
              <w:t xml:space="preserve"> of the GG-NNTs</w:t>
            </w:r>
            <w:r w:rsidR="00E24FEF" w:rsidRPr="00C9564D">
              <w:rPr>
                <w:color w:val="000000" w:themeColor="text1"/>
              </w:rPr>
              <w:t>, report</w:t>
            </w:r>
            <w:r w:rsidRPr="00C9564D">
              <w:rPr>
                <w:color w:val="000000" w:themeColor="text1"/>
              </w:rPr>
              <w:t>s</w:t>
            </w:r>
            <w:r w:rsidR="00E24FEF" w:rsidRPr="00C9564D">
              <w:rPr>
                <w:color w:val="000000" w:themeColor="text1"/>
              </w:rPr>
              <w:t xml:space="preserve"> examples of massive tree planting campaigns. Well-planned tree-planting projects are an important component of global efforts to improve ecological and human well-being. But tree planting becomes problematic when it is promoted as a simple, single solution and overshadows other actions that have greater potential for addressing the drivers of specific environmental problems </w:t>
            </w:r>
            <w:r w:rsidR="00E24FEF" w:rsidRPr="00C9564D">
              <w:rPr>
                <w:color w:val="000000" w:themeColor="text1"/>
              </w:rPr>
              <w:fldChar w:fldCharType="begin"/>
            </w:r>
            <w:r w:rsidR="00891941" w:rsidRPr="00C9564D">
              <w:rPr>
                <w:color w:val="000000" w:themeColor="text1"/>
              </w:rPr>
              <w:instrText xml:space="preserve"> ADDIN ZOTERO_ITEM CSL_CITATION {"citationID":"GliSO6Fd","properties":{"formattedCitation":"(Holl and Brancalion 2020)","plainCitation":"(Holl and Brancalion 2020)","noteIndex":0},"citationItems":[{"id":579,"uris":["http://zotero.org/users/6602900/items/BMCF4SKC"],"uri":["http://zotero.org/users/6602900/items/BMCF4SKC"],"itemData":{"id":579,"type":"article-journal","container-title":"Science","DOI":"10.1126/science.aba8232","issue":"6491","journalAbbreviation":"Science","page":"580","title":"Tree planting is not a simple solution","volume":"368","author":[{"family":"Holl","given":"Karen D."},{"family":"Brancalion","given":"Pedro H. S."}],"issued":{"date-parts":[["2020",5,8]]}}}],"schema":"https://github.com/citation-style-language/schema/raw/master/csl-citation.json"} </w:instrText>
            </w:r>
            <w:r w:rsidR="00E24FEF" w:rsidRPr="00C9564D">
              <w:rPr>
                <w:color w:val="000000" w:themeColor="text1"/>
              </w:rPr>
              <w:fldChar w:fldCharType="separate"/>
            </w:r>
            <w:r w:rsidR="00026EED" w:rsidRPr="00026EED">
              <w:t>(Holl and Brancalion 2020)</w:t>
            </w:r>
            <w:r w:rsidR="00E24FEF" w:rsidRPr="00C9564D">
              <w:rPr>
                <w:color w:val="000000" w:themeColor="text1"/>
              </w:rPr>
              <w:fldChar w:fldCharType="end"/>
            </w:r>
            <w:r w:rsidR="00E24FEF" w:rsidRPr="00C9564D">
              <w:rPr>
                <w:color w:val="000000" w:themeColor="text1"/>
              </w:rPr>
              <w:t>.</w:t>
            </w:r>
          </w:p>
        </w:tc>
      </w:tr>
      <w:tr w:rsidR="00A57294" w:rsidRPr="00C9564D" w14:paraId="068DD5F0" w14:textId="77777777" w:rsidTr="00830EE5">
        <w:tc>
          <w:tcPr>
            <w:tcW w:w="3129" w:type="dxa"/>
          </w:tcPr>
          <w:p w14:paraId="6279EAE2" w14:textId="1D8751B1" w:rsidR="00A57294" w:rsidRPr="00C9564D" w:rsidRDefault="00A57294" w:rsidP="00D06125">
            <w:pPr>
              <w:spacing w:before="120" w:after="120"/>
              <w:jc w:val="both"/>
              <w:rPr>
                <w:color w:val="000000" w:themeColor="text1"/>
              </w:rPr>
            </w:pPr>
            <w:r w:rsidRPr="00C9564D">
              <w:rPr>
                <w:color w:val="000000" w:themeColor="text1"/>
              </w:rPr>
              <w:lastRenderedPageBreak/>
              <w:t>Ornamental</w:t>
            </w:r>
            <w:r w:rsidR="00C95EA7" w:rsidRPr="00C9564D">
              <w:rPr>
                <w:color w:val="000000" w:themeColor="text1"/>
              </w:rPr>
              <w:t>, landscaping</w:t>
            </w:r>
            <w:r w:rsidRPr="00C9564D">
              <w:rPr>
                <w:color w:val="000000" w:themeColor="text1"/>
              </w:rPr>
              <w:t xml:space="preserve"> &amp; Urban Forest</w:t>
            </w:r>
          </w:p>
          <w:p w14:paraId="7A34C015" w14:textId="77777777" w:rsidR="00A57294" w:rsidRPr="00C9564D" w:rsidRDefault="00A57294" w:rsidP="00D06125">
            <w:pPr>
              <w:spacing w:before="120" w:after="120"/>
              <w:jc w:val="both"/>
              <w:rPr>
                <w:color w:val="000000" w:themeColor="text1"/>
              </w:rPr>
            </w:pPr>
            <w:r w:rsidRPr="00C9564D">
              <w:rPr>
                <w:color w:val="2F5496" w:themeColor="accent1" w:themeShade="BF"/>
              </w:rPr>
              <w:t>[ESCAPE from confinement, Ornamental purpose other than horticulture]</w:t>
            </w:r>
          </w:p>
        </w:tc>
        <w:tc>
          <w:tcPr>
            <w:tcW w:w="3129" w:type="dxa"/>
          </w:tcPr>
          <w:p w14:paraId="70573E5E" w14:textId="77777777" w:rsidR="00A57294" w:rsidRPr="00C9564D" w:rsidRDefault="00A57294" w:rsidP="00830EE5">
            <w:pPr>
              <w:spacing w:before="120" w:after="120"/>
              <w:rPr>
                <w:color w:val="000000" w:themeColor="text1"/>
              </w:rPr>
            </w:pPr>
            <w:r w:rsidRPr="00C9564D">
              <w:rPr>
                <w:color w:val="000000" w:themeColor="text1"/>
              </w:rPr>
              <w:t>(many)</w:t>
            </w:r>
          </w:p>
          <w:p w14:paraId="54B9D99E" w14:textId="63E7821F" w:rsidR="007E7FED" w:rsidRPr="00C9564D" w:rsidRDefault="007E7FED" w:rsidP="00830EE5">
            <w:pPr>
              <w:spacing w:before="120" w:after="120"/>
              <w:rPr>
                <w:color w:val="000000" w:themeColor="text1"/>
              </w:rPr>
            </w:pPr>
            <w:r w:rsidRPr="00C9564D">
              <w:rPr>
                <w:i/>
                <w:iCs/>
                <w:color w:val="000000" w:themeColor="text1"/>
              </w:rPr>
              <w:t xml:space="preserve">Cupressus lusitanica, Grevillea banksia, Grevillea robusta, Hovenia dulcis, Ligustrum </w:t>
            </w:r>
            <w:r w:rsidRPr="00C9564D">
              <w:rPr>
                <w:color w:val="000000" w:themeColor="text1"/>
              </w:rPr>
              <w:t>sp</w:t>
            </w:r>
            <w:r w:rsidR="000740E0" w:rsidRPr="00C9564D">
              <w:rPr>
                <w:color w:val="000000" w:themeColor="text1"/>
              </w:rPr>
              <w:t xml:space="preserve">. </w:t>
            </w:r>
            <w:r w:rsidRPr="00C9564D">
              <w:rPr>
                <w:color w:val="000000" w:themeColor="text1"/>
              </w:rPr>
              <w:t>p</w:t>
            </w:r>
            <w:r w:rsidR="000740E0" w:rsidRPr="00C9564D">
              <w:rPr>
                <w:color w:val="000000" w:themeColor="text1"/>
              </w:rPr>
              <w:t>l</w:t>
            </w:r>
            <w:r w:rsidRPr="00C9564D">
              <w:rPr>
                <w:color w:val="000000" w:themeColor="text1"/>
              </w:rPr>
              <w:t xml:space="preserve">., </w:t>
            </w:r>
            <w:r w:rsidRPr="00C9564D">
              <w:rPr>
                <w:i/>
                <w:iCs/>
                <w:color w:val="000000" w:themeColor="text1"/>
              </w:rPr>
              <w:t>Morus alba, Morus nigra, Pachira aquatica, Pittosporum undulatum, Terminalia catappa, Schefflera actinopylla</w:t>
            </w:r>
          </w:p>
        </w:tc>
        <w:tc>
          <w:tcPr>
            <w:tcW w:w="7327" w:type="dxa"/>
          </w:tcPr>
          <w:p w14:paraId="09F87FCE" w14:textId="50EC4F80" w:rsidR="001B58E0" w:rsidRPr="00C9564D" w:rsidRDefault="00BE3E0C" w:rsidP="00830EE5">
            <w:pPr>
              <w:suppressAutoHyphens w:val="0"/>
              <w:jc w:val="both"/>
              <w:rPr>
                <w:color w:val="000000" w:themeColor="text1"/>
              </w:rPr>
            </w:pPr>
            <w:r w:rsidRPr="00C9564D">
              <w:rPr>
                <w:color w:val="000000" w:themeColor="text1"/>
              </w:rPr>
              <w:t>Providing multiple ecosystem services not possible with native species.</w:t>
            </w:r>
            <w:r w:rsidR="001B58E0" w:rsidRPr="00C9564D">
              <w:rPr>
                <w:color w:val="000000" w:themeColor="text1"/>
              </w:rPr>
              <w:t xml:space="preserve"> Tree plantings in private and public</w:t>
            </w:r>
            <w:r w:rsidR="0060772C" w:rsidRPr="00C9564D">
              <w:rPr>
                <w:color w:val="000000" w:themeColor="text1"/>
              </w:rPr>
              <w:t xml:space="preserve"> urban</w:t>
            </w:r>
            <w:r w:rsidR="001B58E0" w:rsidRPr="00C9564D">
              <w:rPr>
                <w:color w:val="000000" w:themeColor="text1"/>
              </w:rPr>
              <w:t xml:space="preserve"> areas can reduce overheating</w:t>
            </w:r>
            <w:r w:rsidR="0060772C" w:rsidRPr="00C9564D">
              <w:rPr>
                <w:color w:val="000000" w:themeColor="text1"/>
              </w:rPr>
              <w:t xml:space="preserve">, </w:t>
            </w:r>
            <w:r w:rsidR="001B58E0" w:rsidRPr="00C9564D">
              <w:rPr>
                <w:color w:val="000000" w:themeColor="text1"/>
              </w:rPr>
              <w:t xml:space="preserve">improve landscapes through their aesthetic value and reduce pollutants such as dust particles. </w:t>
            </w:r>
            <w:r w:rsidR="009B1E43" w:rsidRPr="00C9564D">
              <w:rPr>
                <w:color w:val="000000" w:themeColor="text1"/>
              </w:rPr>
              <w:t>However, t</w:t>
            </w:r>
            <w:r w:rsidR="001B58E0" w:rsidRPr="00C9564D">
              <w:rPr>
                <w:color w:val="000000" w:themeColor="text1"/>
              </w:rPr>
              <w:t xml:space="preserve">here are risks to human health </w:t>
            </w:r>
            <w:r w:rsidR="00F77A92" w:rsidRPr="00C9564D">
              <w:rPr>
                <w:color w:val="000000" w:themeColor="text1"/>
              </w:rPr>
              <w:t xml:space="preserve">including </w:t>
            </w:r>
            <w:r w:rsidR="009B1E43" w:rsidRPr="00C9564D">
              <w:rPr>
                <w:color w:val="000000" w:themeColor="text1"/>
              </w:rPr>
              <w:t xml:space="preserve">allergenic potential </w:t>
            </w:r>
            <w:r w:rsidR="001B58E0" w:rsidRPr="00C9564D">
              <w:rPr>
                <w:color w:val="000000" w:themeColor="text1"/>
              </w:rPr>
              <w:t xml:space="preserve">from pollen. Trees in urban areas can also facilitate the introduction and establishment of non-native tree insects and pests </w:t>
            </w:r>
            <w:r w:rsidR="00E24FEF" w:rsidRPr="00C9564D">
              <w:rPr>
                <w:color w:val="000000" w:themeColor="text1"/>
              </w:rPr>
              <w:fldChar w:fldCharType="begin"/>
            </w:r>
            <w:r w:rsidR="00E24FEF" w:rsidRPr="00C9564D">
              <w:rPr>
                <w:color w:val="000000" w:themeColor="text1"/>
              </w:rPr>
              <w:instrText xml:space="preserve"> ADDIN ZOTERO_ITEM CSL_CITATION {"citationID":"AbENXE2z","properties":{"formattedCitation":"(Branco et al. 2019)","plainCitation":"(Branco et al. 2019)","noteIndex":0},"citationItems":[{"id":581,"uris":["http://zotero.org/users/6602900/items/CPX8AKEZ"],"uri":["http://zotero.org/users/6602900/items/CPX8AKEZ"],"itemData":{"id":581,"type":"article-journal","abstract":"Cities, due to the presence of ports and airports and the high diversity of trees in streets, parks, and gardens, may play an important role for the introduction of invasive forest pests. We hypothesize that areas of urban forest facilitate the establishment of non-native forest pests. Based on scientific literature and a pan-European database on non-native species feeding on woody plants, we analysed where the first detections occurred in European countries. We collected site data for 137 first detections in Europe and 508 first European country-specific records. We also estimated the percentage of tree cover and suitable habitat (green areas with trees) in buffers around detection points. The large majority of first records (89% for first record in Europe and 88% for first records in a European country) were found in cities or suburban areas. Only 7% of the cases were in forests far from cities. The probability of occurrence decreased sharply with distance from the city. The probability to be detected in urban areas was higher for sap feeders, gall makers, and seed or fruit feeders (&gt;90%) than for bark and wood borers (81%). Detection sites in cities were highly diverse, including public parks, street trees, university campus, arboreta, zoos, and botanical gardens. The average proportion of suitable habitat was less than 10% in urban areas where the species were detected. Further, more than 72% of the cases occurred in sites with less than 20% of tree cover. Hotspots of first detection were identified along the coastal regions of the Mediterranean and Atlantic, and near industrial areas of central Europe. We conclude that urban trees are main facilitators for the establishment of non-native forest pests, and that cities should thus be intensely surveyed. Moreover, as urban areas are highly populated, the involvement of citizens is highly recommended.","container-title":"NeoBiota","DOI":"10.3897/neobiota.52.36358","ISSN":"1314-2488, 1619-0033","journalAbbreviation":"NB","language":"en","page":"25-46","source":"DOI.org (Crossref)","title":"Urban trees facilitate the establishment of non-native forest insects","volume":"52","author":[{"family":"Branco","given":"Manuela"},{"family":"Nunes","given":"Pedro"},{"family":"Roques","given":"Alain"},{"family":"Fernandes","given":"Maria Rosário"},{"family":"Orazio","given":"Christophe"},{"family":"Jactel","given":"Hervé"}],"issued":{"date-parts":[["2019",11,11]]}}}],"schema":"https://github.com/citation-style-language/schema/raw/master/csl-citation.json"} </w:instrText>
            </w:r>
            <w:r w:rsidR="00E24FEF" w:rsidRPr="00C9564D">
              <w:rPr>
                <w:color w:val="000000" w:themeColor="text1"/>
              </w:rPr>
              <w:fldChar w:fldCharType="separate"/>
            </w:r>
            <w:r w:rsidR="00026EED" w:rsidRPr="00026EED">
              <w:t>(Branco et al. 2019)</w:t>
            </w:r>
            <w:r w:rsidR="00E24FEF" w:rsidRPr="00C9564D">
              <w:rPr>
                <w:color w:val="000000" w:themeColor="text1"/>
              </w:rPr>
              <w:fldChar w:fldCharType="end"/>
            </w:r>
            <w:r w:rsidR="001B58E0" w:rsidRPr="00C9564D">
              <w:rPr>
                <w:color w:val="000000" w:themeColor="text1"/>
              </w:rPr>
              <w:t xml:space="preserve">. </w:t>
            </w:r>
            <w:r w:rsidR="00AF58B4" w:rsidRPr="00C9564D">
              <w:rPr>
                <w:color w:val="000000" w:themeColor="text1"/>
              </w:rPr>
              <w:t xml:space="preserve">For example, </w:t>
            </w:r>
            <w:r w:rsidR="00AF58B4" w:rsidRPr="00C9564D">
              <w:rPr>
                <w:i/>
                <w:iCs/>
                <w:color w:val="000000" w:themeColor="text1"/>
              </w:rPr>
              <w:t>Ligustrum lucidum</w:t>
            </w:r>
            <w:r w:rsidR="00AF58B4" w:rsidRPr="00C9564D">
              <w:rPr>
                <w:color w:val="000000" w:themeColor="text1"/>
              </w:rPr>
              <w:t>, native to China, was transported to different countries worldwide since the eighteenth century as a garden and landscape ornamental tree and widely grown as hedging. Nowadays, it is considered as an INNT in several countries</w:t>
            </w:r>
            <w:r w:rsidR="000740E0" w:rsidRPr="00C9564D">
              <w:rPr>
                <w:color w:val="000000" w:themeColor="text1"/>
              </w:rPr>
              <w:t xml:space="preserve"> </w:t>
            </w:r>
            <w:r w:rsidR="000740E0" w:rsidRPr="00C9564D">
              <w:rPr>
                <w:color w:val="000000" w:themeColor="text1"/>
              </w:rPr>
              <w:fldChar w:fldCharType="begin"/>
            </w:r>
            <w:r w:rsidR="000740E0" w:rsidRPr="00C9564D">
              <w:rPr>
                <w:color w:val="000000" w:themeColor="text1"/>
              </w:rPr>
              <w:instrText xml:space="preserve"> ADDIN ZOTERO_ITEM CSL_CITATION {"citationID":"y3XFamkE","properties":{"formattedCitation":"(Fernandez et al. 2020)","plainCitation":"(Fernandez et al. 2020)","noteIndex":0},"citationItems":[{"id":697,"uris":["http://zotero.org/users/6602900/items/H656I5TE"],"uri":["http://zotero.org/users/6602900/items/H656I5TE"],"itemData":{"id":697,"type":"article-journal","abstract":"Ligustrum lucidum is a highly invasive East Asian tree that successfully colonizes several subtropical and temperate areas around the world. Its invasion capacity results from a widespread human use mostly in urban and periurban settings, very abundant fruit and seed production, small bird-dispersed fruits, high germination rates, resprouting capacity, fast growth rates, low herbivory levels and tolerance to a wide range of light, temperature and soil. All these traits contribute to its ability to rapidly increase in abundance, alter biodiversity, landscape ecology and limit its management. This paper reviews the current knowledge on L. lucidum with particular focus on its uses, distribution, invasiveness, ecological and economic impacts and control measures. Most relevant aspect of the review highlight the negative ecological impacts of L. lucidum, its potential to continue expanding its range of distribution and the need of further studies on the eco-physiology of the species, economic impact and social perception of its invasion and early warning systems.","container-title":"The Botanical Review","DOI":"10.1007/s12229-020-09228-w","ISSN":"1874-9372","journalAbbreviation":"The Botanical Review","title":"A Global Review of Ligustrum Lucidum (OLEACEAE) Invasion","URL":"https://doi.org/10.1007/s12229-020-09228-w","author":[{"family":"Fernandez","given":"Romina D."},{"family":"Ceballos","given":"Sergio J."},{"family":"Aragón","given":"Roxana"},{"family":"Malizia","given":"Agustina"},{"family":"Montti","given":"Lía"},{"family":"Whitworth-Hulse","given":"Juan I."},{"family":"Castro-Díez","given":"Pilar"},{"family":"Grau","given":"H. Ricardo"}],"issued":{"date-parts":[["2020",8,5]]}}}],"schema":"https://github.com/citation-style-language/schema/raw/master/csl-citation.json"} </w:instrText>
            </w:r>
            <w:r w:rsidR="000740E0" w:rsidRPr="00C9564D">
              <w:rPr>
                <w:color w:val="000000" w:themeColor="text1"/>
              </w:rPr>
              <w:fldChar w:fldCharType="separate"/>
            </w:r>
            <w:r w:rsidR="00026EED" w:rsidRPr="00026EED">
              <w:t>(Fernandez et al. 2020)</w:t>
            </w:r>
            <w:r w:rsidR="000740E0" w:rsidRPr="00C9564D">
              <w:rPr>
                <w:color w:val="000000" w:themeColor="text1"/>
              </w:rPr>
              <w:fldChar w:fldCharType="end"/>
            </w:r>
            <w:r w:rsidR="000740E0" w:rsidRPr="00C9564D">
              <w:rPr>
                <w:color w:val="000000" w:themeColor="text1"/>
              </w:rPr>
              <w:t>.</w:t>
            </w:r>
          </w:p>
          <w:p w14:paraId="78DE6321" w14:textId="77777777" w:rsidR="00A57294" w:rsidRPr="00C9564D" w:rsidRDefault="00A57294" w:rsidP="00D06125">
            <w:pPr>
              <w:spacing w:before="120" w:after="120"/>
              <w:jc w:val="both"/>
              <w:rPr>
                <w:color w:val="000000" w:themeColor="text1"/>
              </w:rPr>
            </w:pPr>
          </w:p>
        </w:tc>
      </w:tr>
      <w:tr w:rsidR="00A57294" w:rsidRPr="00C9564D" w14:paraId="74E63705" w14:textId="77777777" w:rsidTr="00830EE5">
        <w:tc>
          <w:tcPr>
            <w:tcW w:w="3129" w:type="dxa"/>
          </w:tcPr>
          <w:p w14:paraId="0A550FDD" w14:textId="77777777" w:rsidR="00A57294" w:rsidRPr="00C9564D" w:rsidRDefault="00A57294" w:rsidP="00D06125">
            <w:pPr>
              <w:spacing w:before="120" w:after="120"/>
              <w:jc w:val="both"/>
              <w:rPr>
                <w:color w:val="000000" w:themeColor="text1"/>
              </w:rPr>
            </w:pPr>
            <w:r w:rsidRPr="00C9564D">
              <w:rPr>
                <w:color w:val="000000" w:themeColor="text1"/>
              </w:rPr>
              <w:t>Botanic Gardens &amp; Arboreta</w:t>
            </w:r>
          </w:p>
          <w:p w14:paraId="7C4E432F" w14:textId="77777777" w:rsidR="00A57294" w:rsidRPr="00C9564D" w:rsidRDefault="00A57294" w:rsidP="00D06125">
            <w:pPr>
              <w:spacing w:before="120" w:after="120"/>
              <w:jc w:val="both"/>
              <w:rPr>
                <w:color w:val="000000" w:themeColor="text1"/>
              </w:rPr>
            </w:pPr>
            <w:r w:rsidRPr="00C9564D">
              <w:rPr>
                <w:color w:val="2F5496" w:themeColor="accent1" w:themeShade="BF"/>
              </w:rPr>
              <w:t>[ESCAPE from confinement, Botanical garden/zoo/aquaria (excluding domestic aquaria)]</w:t>
            </w:r>
          </w:p>
        </w:tc>
        <w:tc>
          <w:tcPr>
            <w:tcW w:w="3129" w:type="dxa"/>
          </w:tcPr>
          <w:p w14:paraId="6174613A" w14:textId="77777777" w:rsidR="00A57294" w:rsidRPr="00C9564D" w:rsidRDefault="00A57294" w:rsidP="00830EE5">
            <w:pPr>
              <w:spacing w:before="120" w:after="120"/>
              <w:rPr>
                <w:color w:val="000000" w:themeColor="text1"/>
              </w:rPr>
            </w:pPr>
            <w:r w:rsidRPr="00C9564D">
              <w:rPr>
                <w:color w:val="000000" w:themeColor="text1"/>
              </w:rPr>
              <w:t>(many)</w:t>
            </w:r>
          </w:p>
        </w:tc>
        <w:tc>
          <w:tcPr>
            <w:tcW w:w="7327" w:type="dxa"/>
          </w:tcPr>
          <w:p w14:paraId="48C2D15A" w14:textId="5D5CE2C6" w:rsidR="00A57294" w:rsidRPr="00C9564D" w:rsidRDefault="00E76C74" w:rsidP="00D06125">
            <w:pPr>
              <w:spacing w:before="120" w:after="120"/>
              <w:jc w:val="both"/>
              <w:rPr>
                <w:color w:val="000000" w:themeColor="text1"/>
              </w:rPr>
            </w:pPr>
            <w:r w:rsidRPr="00C9564D">
              <w:rPr>
                <w:color w:val="000000" w:themeColor="text1"/>
              </w:rPr>
              <w:t>Botanic Gardens and Arboreta can play an important role m</w:t>
            </w:r>
            <w:r w:rsidR="00BE3E0C" w:rsidRPr="00C9564D">
              <w:rPr>
                <w:color w:val="000000" w:themeColor="text1"/>
              </w:rPr>
              <w:t xml:space="preserve">aking aware citizens of which species are </w:t>
            </w:r>
            <w:r w:rsidR="00B50045" w:rsidRPr="00C9564D">
              <w:rPr>
                <w:color w:val="000000" w:themeColor="text1"/>
              </w:rPr>
              <w:t>NNTs or INNTs</w:t>
            </w:r>
            <w:r w:rsidR="00BE3E0C" w:rsidRPr="00C9564D">
              <w:rPr>
                <w:color w:val="000000" w:themeColor="text1"/>
              </w:rPr>
              <w:t>.</w:t>
            </w:r>
            <w:r w:rsidR="008B53D6" w:rsidRPr="00C9564D">
              <w:rPr>
                <w:color w:val="000000" w:themeColor="text1"/>
              </w:rPr>
              <w:t xml:space="preserve"> </w:t>
            </w:r>
            <w:r w:rsidRPr="00C9564D">
              <w:rPr>
                <w:color w:val="000000" w:themeColor="text1"/>
              </w:rPr>
              <w:t>There is p</w:t>
            </w:r>
            <w:r w:rsidR="008B53D6" w:rsidRPr="00C9564D">
              <w:rPr>
                <w:color w:val="000000" w:themeColor="text1"/>
              </w:rPr>
              <w:t>otential to join networks of sentinel planting sites and research global networks.</w:t>
            </w:r>
            <w:r w:rsidRPr="00C9564D">
              <w:rPr>
                <w:color w:val="000000" w:themeColor="text1"/>
              </w:rPr>
              <w:t xml:space="preserve"> However, tropical botanical gardens have played an important role in the distribution, naturalisation and spread of non-native plants worldwide </w:t>
            </w:r>
            <w:r w:rsidR="003E651F" w:rsidRPr="00C9564D">
              <w:rPr>
                <w:color w:val="000000" w:themeColor="text1"/>
              </w:rPr>
              <w:fldChar w:fldCharType="begin"/>
            </w:r>
            <w:r w:rsidR="003E651F" w:rsidRPr="00C9564D">
              <w:rPr>
                <w:color w:val="000000" w:themeColor="text1"/>
              </w:rPr>
              <w:instrText xml:space="preserve"> ADDIN ZOTERO_ITEM CSL_CITATION {"citationID":"t1aFqynf","properties":{"formattedCitation":"(Dawson et al. 2008)","plainCitation":"(Dawson et al. 2008)","noteIndex":0},"citationItems":[{"id":236,"uris":["http://zotero.org/users/6602900/items/5PYZP6AB"],"uri":["http://zotero.org/users/6602900/items/5PYZP6AB"],"itemData":{"id":236,"type":"article-journal","abstract":"Tropical botanical gardens have played an important role in the distribution, naturalisation and spread of non-native plants worldwide. Appropriate guidance relating to risk assessments of established botanical garden collections is often scarce. This paper uses the Amani Botanical Garden (ABG), Tanzania, as a case study to highlight appropriate methods to assess the risks posed by existing and future collections in tropical botanical gardens. Key considerations included field assessments of species status using accepted definitions of naturalisation, spread and invasion, distinguishing between intentionally and unintentionally introduced species, identifying taxonomic patterns in invasion status, assessing patterns in habitats colonised, and determining how knowledge of invasion elsewhere might be useful in forecasting risk. Out of the 214 alien plant species surviving from the original plantings in the early 20th century, 35 had only regenerated, 38 had locally naturalised while 16 had spread widely in the botanical garden. A further 16 species with unclear introduction records in the garden were also found to be naturalised. A greater proportion of introduced species were potentially invasive than might be expected from previous analyses of global floras. Overall, just over half of all naturalised and spreading species were also observed in forest fragments and edges. The proportion of species that had been recorded elsewhere as naturalised/invasive was significantly related to their status in ABG, with 94% of spreading species and 79% of naturalising species being recorded as naturalised or invasive elsewhere, compared to 57% of species that were only regenerating and 49% of species only surviving. Recommendations for further risk assessments of botanical garden collections are discussed.","container-title":"Biodiversity and Conservation","DOI":"10.1007/s10531-008-9345-0","ISSN":"1572-9710","issue":"8","journalAbbreviation":"Biodiversity and Conservation","page":"1979-1995","title":"Assessing the risks of plant invasions arising from collections in tropical botanical gardens","volume":"17","author":[{"family":"Dawson","given":"Wayne"},{"family":"Mndolwa","given":"Ahmed S."},{"family":"Burslem","given":"David F. R. P."},{"family":"Hulme","given":"Philip E."}],"issued":{"date-parts":[["2008",7,1]]}}}],"schema":"https://github.com/citation-style-language/schema/raw/master/csl-citation.json"} </w:instrText>
            </w:r>
            <w:r w:rsidR="003E651F" w:rsidRPr="00C9564D">
              <w:rPr>
                <w:color w:val="000000" w:themeColor="text1"/>
              </w:rPr>
              <w:fldChar w:fldCharType="separate"/>
            </w:r>
            <w:r w:rsidR="00026EED" w:rsidRPr="00026EED">
              <w:t>(Dawson et al. 2008)</w:t>
            </w:r>
            <w:r w:rsidR="003E651F" w:rsidRPr="00C9564D">
              <w:rPr>
                <w:color w:val="000000" w:themeColor="text1"/>
              </w:rPr>
              <w:fldChar w:fldCharType="end"/>
            </w:r>
            <w:r w:rsidRPr="00C9564D">
              <w:rPr>
                <w:color w:val="000000" w:themeColor="text1"/>
              </w:rPr>
              <w:t>.</w:t>
            </w:r>
            <w:r w:rsidR="00C95EA7" w:rsidRPr="00C9564D">
              <w:rPr>
                <w:color w:val="000000" w:themeColor="text1"/>
              </w:rPr>
              <w:t xml:space="preserve"> Importantly, NNTs are often planted also in Zoological Gardens.</w:t>
            </w:r>
          </w:p>
        </w:tc>
      </w:tr>
      <w:tr w:rsidR="00A57294" w:rsidRPr="00C9564D" w14:paraId="28D5C1BE" w14:textId="77777777" w:rsidTr="00830EE5">
        <w:tc>
          <w:tcPr>
            <w:tcW w:w="3129" w:type="dxa"/>
          </w:tcPr>
          <w:p w14:paraId="3ED9A60A" w14:textId="77777777" w:rsidR="00A57294" w:rsidRPr="00C9564D" w:rsidRDefault="00A57294" w:rsidP="00D06125">
            <w:pPr>
              <w:spacing w:before="120" w:after="120"/>
              <w:jc w:val="both"/>
              <w:rPr>
                <w:color w:val="000000" w:themeColor="text1"/>
              </w:rPr>
            </w:pPr>
            <w:r w:rsidRPr="00C9564D">
              <w:rPr>
                <w:color w:val="000000" w:themeColor="text1"/>
              </w:rPr>
              <w:t>Translocations and Assisted Migration</w:t>
            </w:r>
          </w:p>
          <w:p w14:paraId="3EC3A4C6" w14:textId="77777777" w:rsidR="00A57294" w:rsidRPr="00C9564D" w:rsidRDefault="00A57294" w:rsidP="00D06125">
            <w:pPr>
              <w:spacing w:before="120" w:after="120"/>
              <w:jc w:val="both"/>
              <w:rPr>
                <w:color w:val="000000" w:themeColor="text1"/>
              </w:rPr>
            </w:pPr>
            <w:r w:rsidRPr="00C9564D">
              <w:rPr>
                <w:color w:val="2F5496" w:themeColor="accent1" w:themeShade="BF"/>
              </w:rPr>
              <w:t>[RELEASE in nature, Other intentional release]</w:t>
            </w:r>
          </w:p>
        </w:tc>
        <w:tc>
          <w:tcPr>
            <w:tcW w:w="3129" w:type="dxa"/>
          </w:tcPr>
          <w:p w14:paraId="72952348" w14:textId="1FFA6A99" w:rsidR="00A57294" w:rsidRPr="00C9564D" w:rsidRDefault="00B50045" w:rsidP="00830EE5">
            <w:pPr>
              <w:spacing w:before="120" w:after="120"/>
              <w:rPr>
                <w:color w:val="000000" w:themeColor="text1"/>
              </w:rPr>
            </w:pPr>
            <w:r w:rsidRPr="00C9564D">
              <w:rPr>
                <w:color w:val="000000" w:themeColor="text1"/>
              </w:rPr>
              <w:t>(many)</w:t>
            </w:r>
          </w:p>
        </w:tc>
        <w:tc>
          <w:tcPr>
            <w:tcW w:w="7327" w:type="dxa"/>
          </w:tcPr>
          <w:p w14:paraId="5E777BD0" w14:textId="7E7BC568" w:rsidR="00A57294" w:rsidRPr="00C9564D" w:rsidRDefault="00B50045" w:rsidP="00D06125">
            <w:pPr>
              <w:spacing w:before="120" w:after="120"/>
              <w:jc w:val="both"/>
              <w:rPr>
                <w:color w:val="000000" w:themeColor="text1"/>
              </w:rPr>
            </w:pPr>
            <w:r w:rsidRPr="00C9564D">
              <w:rPr>
                <w:color w:val="000000" w:themeColor="text1"/>
              </w:rPr>
              <w:t xml:space="preserve">Assisted migration (AM), the translocation of species, populations, or genotypes into new regions projected to be more climatically </w:t>
            </w:r>
            <w:r w:rsidR="001E1309" w:rsidRPr="00C9564D">
              <w:rPr>
                <w:color w:val="000000" w:themeColor="text1"/>
              </w:rPr>
              <w:t>favourable</w:t>
            </w:r>
            <w:r w:rsidRPr="00C9564D">
              <w:rPr>
                <w:color w:val="000000" w:themeColor="text1"/>
              </w:rPr>
              <w:t xml:space="preserve">, is a high‐risk strategy for preventing climate‐induced extinction that raises logistical, ethical, and financial concerns </w:t>
            </w:r>
            <w:r w:rsidRPr="00C9564D">
              <w:rPr>
                <w:color w:val="000000" w:themeColor="text1"/>
              </w:rPr>
              <w:fldChar w:fldCharType="begin"/>
            </w:r>
            <w:r w:rsidRPr="00C9564D">
              <w:rPr>
                <w:color w:val="000000" w:themeColor="text1"/>
              </w:rPr>
              <w:instrText xml:space="preserve"> ADDIN ZOTERO_ITEM CSL_CITATION {"citationID":"MgUAhNH6","properties":{"formattedCitation":"(Simler et al. 2019)","plainCitation":"(Simler et al. 2019)","noteIndex":0},"citationItems":[{"id":464,"uris":["http://zotero.org/users/6602900/items/IVHPC2JF"],"uri":["http://zotero.org/users/6602900/items/IVHPC2JF"],"itemData":{"id":464,"type":"article-journal","abstract":"Abstract Translocation of species, populations, or genotypes beyond their historic ranges (i.e., assisted migration [AM]) is an oft-debated climate adaptation strategy. Well-intentioned AM actions could alter disease dynamics for target species and recipient sites, resulting in unanticipated detrimental economic and ecological impacts. Although disease risks are occasionally mentioned in AM debates, current regulations or best practices that reduce or mitigate these complex risks are generally lacking in North America. We use the ?Disease Triangle?, a foundational framework in pathology, to illustrate pathways through which AM may impact disease emergence, to identify knowledge gaps, and to suggest best practices to reduce disease risks. We highlight empirical examples in which altering pathogen distributions, host communities, and environment have historically resulted in costly and ecologically damaging diseases in plants. Although guidelines to reduce disease risks in AM are generally lacking, policies governing endangered species, invasive species, and disease management can provide starting points for a more comprehensive policy. We use examples from the United States to identify key strengths and weaknesses that can inform regulations to reduce disease risks associated with AM. We argue that consideration of disease motivates policy development that incorporates improved risk assessments, agency coordination, and accountability mechanisms.","container-title":"Conservation Letters","DOI":"10.1111/conl.12605","ISSN":"1755-263X","issue":"2","journalAbbreviation":"Conservation Letters","note":"publisher: John Wiley &amp; Sons, Ltd","page":"e12605","title":"Amplifying plant disease risk through assisted migration","volume":"12","author":[{"family":"Simler","given":"Allison B."},{"family":"Williamson","given":"Matthew A."},{"family":"Schwartz","given":"Mark W."},{"family":"Rizzo","given":"David M."}],"issued":{"date-parts":[["2019",3,1]]}}}],"schema":"https://github.com/citation-style-language/schema/raw/master/csl-citation.json"} </w:instrText>
            </w:r>
            <w:r w:rsidRPr="00C9564D">
              <w:rPr>
                <w:color w:val="000000" w:themeColor="text1"/>
              </w:rPr>
              <w:fldChar w:fldCharType="separate"/>
            </w:r>
            <w:r w:rsidR="00026EED" w:rsidRPr="00026EED">
              <w:t>(Simler et al. 2019)</w:t>
            </w:r>
            <w:r w:rsidRPr="00C9564D">
              <w:rPr>
                <w:color w:val="000000" w:themeColor="text1"/>
              </w:rPr>
              <w:fldChar w:fldCharType="end"/>
            </w:r>
            <w:r w:rsidRPr="00C9564D">
              <w:rPr>
                <w:color w:val="000000" w:themeColor="text1"/>
              </w:rPr>
              <w:t>.</w:t>
            </w:r>
          </w:p>
        </w:tc>
      </w:tr>
      <w:tr w:rsidR="00A57294" w:rsidRPr="00C9564D" w14:paraId="09C2C5BB" w14:textId="77777777" w:rsidTr="00830EE5">
        <w:tc>
          <w:tcPr>
            <w:tcW w:w="3129" w:type="dxa"/>
          </w:tcPr>
          <w:p w14:paraId="2B764E12" w14:textId="77777777" w:rsidR="00A57294" w:rsidRPr="00C9564D" w:rsidRDefault="00A57294" w:rsidP="00D06125">
            <w:pPr>
              <w:spacing w:before="120" w:after="120"/>
              <w:jc w:val="both"/>
              <w:rPr>
                <w:color w:val="000000" w:themeColor="text1"/>
              </w:rPr>
            </w:pPr>
            <w:r w:rsidRPr="00C9564D">
              <w:rPr>
                <w:color w:val="000000" w:themeColor="text1"/>
              </w:rPr>
              <w:t>Plantations on disturbed land</w:t>
            </w:r>
          </w:p>
          <w:p w14:paraId="749DDD48" w14:textId="77777777" w:rsidR="00A57294" w:rsidRPr="00C9564D" w:rsidRDefault="00A57294" w:rsidP="00D06125">
            <w:pPr>
              <w:spacing w:before="120" w:after="120"/>
              <w:jc w:val="both"/>
              <w:rPr>
                <w:color w:val="000000" w:themeColor="text1"/>
              </w:rPr>
            </w:pPr>
            <w:r w:rsidRPr="00C9564D">
              <w:rPr>
                <w:color w:val="2F5496" w:themeColor="accent1" w:themeShade="BF"/>
              </w:rPr>
              <w:t>[RELEASE in nature, Landscape/flora/fauna “improvement” in the wild]</w:t>
            </w:r>
          </w:p>
          <w:p w14:paraId="673EFDB4" w14:textId="77777777" w:rsidR="00A57294" w:rsidRPr="00C9564D" w:rsidRDefault="00A57294" w:rsidP="00D06125">
            <w:pPr>
              <w:spacing w:before="120" w:after="120"/>
              <w:jc w:val="both"/>
              <w:rPr>
                <w:color w:val="000000" w:themeColor="text1"/>
              </w:rPr>
            </w:pPr>
          </w:p>
        </w:tc>
        <w:tc>
          <w:tcPr>
            <w:tcW w:w="3129" w:type="dxa"/>
          </w:tcPr>
          <w:p w14:paraId="7697C79E" w14:textId="49FC37BC" w:rsidR="00A57294" w:rsidRPr="00C9564D" w:rsidRDefault="00A57294" w:rsidP="00830EE5">
            <w:pPr>
              <w:spacing w:before="120" w:after="120"/>
              <w:rPr>
                <w:color w:val="000000" w:themeColor="text1"/>
              </w:rPr>
            </w:pPr>
            <w:r w:rsidRPr="00C9564D">
              <w:rPr>
                <w:i/>
                <w:iCs/>
                <w:color w:val="000000" w:themeColor="text1"/>
              </w:rPr>
              <w:t>Acacia, Alnus, Betula, Eucalyptus, Pinus, Salix, Robinia</w:t>
            </w:r>
            <w:r w:rsidR="005563D5" w:rsidRPr="00C9564D">
              <w:rPr>
                <w:i/>
                <w:iCs/>
                <w:color w:val="000000" w:themeColor="text1"/>
              </w:rPr>
              <w:t>, Leucaena leucocephala, Psidium guajava</w:t>
            </w:r>
          </w:p>
        </w:tc>
        <w:tc>
          <w:tcPr>
            <w:tcW w:w="7327" w:type="dxa"/>
          </w:tcPr>
          <w:p w14:paraId="37D1E173" w14:textId="77777777" w:rsidR="00A57294" w:rsidRPr="00C9564D" w:rsidRDefault="00A57294" w:rsidP="00D06125">
            <w:pPr>
              <w:spacing w:before="120" w:after="120"/>
              <w:jc w:val="both"/>
              <w:rPr>
                <w:color w:val="000000" w:themeColor="text1"/>
              </w:rPr>
            </w:pPr>
            <w:r w:rsidRPr="00C9564D">
              <w:rPr>
                <w:color w:val="000000" w:themeColor="text1"/>
              </w:rPr>
              <w:t>The use of NNTs species remains an acceptable option to restore areas degraded by mining activities if they fulfil a temporary successional role to colonize and ameliorate severely degraded sites and facilitate colonization and eventual dominance by native flora and do not spread outside the intervention site.</w:t>
            </w:r>
          </w:p>
        </w:tc>
      </w:tr>
      <w:tr w:rsidR="00A57294" w:rsidRPr="00C9564D" w14:paraId="0D1EDF43" w14:textId="77777777" w:rsidTr="00830EE5">
        <w:tc>
          <w:tcPr>
            <w:tcW w:w="3129" w:type="dxa"/>
          </w:tcPr>
          <w:p w14:paraId="10285F51" w14:textId="77777777" w:rsidR="00A57294" w:rsidRPr="00C9564D" w:rsidRDefault="00A57294" w:rsidP="00D06125">
            <w:pPr>
              <w:spacing w:before="120" w:after="120"/>
              <w:jc w:val="both"/>
              <w:rPr>
                <w:color w:val="000000" w:themeColor="text1"/>
              </w:rPr>
            </w:pPr>
            <w:r w:rsidRPr="00C9564D">
              <w:rPr>
                <w:color w:val="000000" w:themeColor="text1"/>
              </w:rPr>
              <w:lastRenderedPageBreak/>
              <w:t>Habitat restoration, phytoremediation</w:t>
            </w:r>
          </w:p>
          <w:p w14:paraId="77DD6BBB" w14:textId="77777777" w:rsidR="00A57294" w:rsidRPr="00C9564D" w:rsidRDefault="00A57294" w:rsidP="00D06125">
            <w:pPr>
              <w:spacing w:before="120" w:after="120"/>
              <w:jc w:val="both"/>
              <w:rPr>
                <w:color w:val="000000" w:themeColor="text1"/>
              </w:rPr>
            </w:pPr>
            <w:r w:rsidRPr="00C9564D">
              <w:rPr>
                <w:color w:val="2F5496" w:themeColor="accent1" w:themeShade="BF"/>
              </w:rPr>
              <w:t>[RELEASE in nature, Landscape/flora/fauna “improvement” in the wild]</w:t>
            </w:r>
          </w:p>
          <w:p w14:paraId="047AE5D0" w14:textId="77777777" w:rsidR="00A57294" w:rsidRPr="00C9564D" w:rsidRDefault="00A57294" w:rsidP="00D06125">
            <w:pPr>
              <w:spacing w:before="120" w:after="120"/>
              <w:jc w:val="both"/>
              <w:rPr>
                <w:color w:val="000000" w:themeColor="text1"/>
              </w:rPr>
            </w:pPr>
          </w:p>
        </w:tc>
        <w:tc>
          <w:tcPr>
            <w:tcW w:w="3129" w:type="dxa"/>
          </w:tcPr>
          <w:p w14:paraId="79CF2038" w14:textId="5D29BDDD" w:rsidR="00A57294" w:rsidRPr="00C9564D" w:rsidRDefault="00644FE8" w:rsidP="00830EE5">
            <w:pPr>
              <w:spacing w:before="120" w:after="120"/>
              <w:rPr>
                <w:i/>
                <w:iCs/>
                <w:color w:val="000000" w:themeColor="text1"/>
              </w:rPr>
            </w:pPr>
            <w:r w:rsidRPr="00C9564D">
              <w:rPr>
                <w:i/>
                <w:iCs/>
                <w:color w:val="000000" w:themeColor="text1"/>
              </w:rPr>
              <w:t xml:space="preserve">Populus, </w:t>
            </w:r>
            <w:r w:rsidR="005563D5" w:rsidRPr="00C9564D">
              <w:rPr>
                <w:i/>
                <w:iCs/>
                <w:color w:val="000000" w:themeColor="text1"/>
              </w:rPr>
              <w:t xml:space="preserve">Leucaena leucocephala, Psidium guajava, Eucalyptus </w:t>
            </w:r>
            <w:r w:rsidR="005563D5" w:rsidRPr="00C9564D">
              <w:rPr>
                <w:color w:val="000000" w:themeColor="text1"/>
              </w:rPr>
              <w:t>sp</w:t>
            </w:r>
            <w:r w:rsidR="00E0770A" w:rsidRPr="00C9564D">
              <w:rPr>
                <w:color w:val="000000" w:themeColor="text1"/>
              </w:rPr>
              <w:t>.</w:t>
            </w:r>
            <w:r w:rsidR="00B50045" w:rsidRPr="00C9564D">
              <w:rPr>
                <w:color w:val="000000" w:themeColor="text1"/>
              </w:rPr>
              <w:t xml:space="preserve"> </w:t>
            </w:r>
            <w:r w:rsidR="005563D5" w:rsidRPr="00C9564D">
              <w:rPr>
                <w:color w:val="000000" w:themeColor="text1"/>
              </w:rPr>
              <w:t>p</w:t>
            </w:r>
            <w:r w:rsidR="00B50045" w:rsidRPr="00C9564D">
              <w:rPr>
                <w:color w:val="000000" w:themeColor="text1"/>
              </w:rPr>
              <w:t>l</w:t>
            </w:r>
            <w:r w:rsidR="005563D5" w:rsidRPr="00C9564D">
              <w:rPr>
                <w:color w:val="000000" w:themeColor="text1"/>
              </w:rPr>
              <w:t>.</w:t>
            </w:r>
          </w:p>
        </w:tc>
        <w:tc>
          <w:tcPr>
            <w:tcW w:w="7327" w:type="dxa"/>
          </w:tcPr>
          <w:p w14:paraId="1A14055F" w14:textId="02843C67" w:rsidR="00A57294" w:rsidRPr="00C9564D" w:rsidRDefault="00534739" w:rsidP="00D06125">
            <w:pPr>
              <w:spacing w:before="120" w:after="120"/>
              <w:jc w:val="both"/>
              <w:rPr>
                <w:color w:val="000000" w:themeColor="text1"/>
              </w:rPr>
            </w:pPr>
            <w:r w:rsidRPr="00C9564D">
              <w:rPr>
                <w:color w:val="000000" w:themeColor="text1"/>
              </w:rPr>
              <w:t xml:space="preserve">NNTs can help restoration efforts of highly modified habitats, for example, by processing </w:t>
            </w:r>
            <w:r w:rsidRPr="00E205FC">
              <w:rPr>
                <w:color w:val="000000" w:themeColor="text1"/>
              </w:rPr>
              <w:t xml:space="preserve">water contaminated with hazardous contaminant. In the short term this could benefit native species, as NNTs might positively transform a system making it more habitable. There is a risk that NNTs can establish and overtake native species by becoming more dominant. </w:t>
            </w:r>
            <w:r w:rsidR="00910E28" w:rsidRPr="00E205FC">
              <w:rPr>
                <w:color w:val="000000" w:themeColor="text1"/>
              </w:rPr>
              <w:t xml:space="preserve">For example, </w:t>
            </w:r>
            <w:r w:rsidR="00910E28" w:rsidRPr="00E205FC">
              <w:rPr>
                <w:i/>
                <w:iCs/>
                <w:color w:val="000000" w:themeColor="text1"/>
              </w:rPr>
              <w:t>Robinia pseudoacacia</w:t>
            </w:r>
            <w:r w:rsidR="00910E28" w:rsidRPr="00E205FC">
              <w:rPr>
                <w:color w:val="000000" w:themeColor="text1"/>
              </w:rPr>
              <w:t xml:space="preserve"> was introduced in the Loess Plateau (China) in the 1950s when the Chinese government launched large-scale tree planting campaigns to reforest denuded mountains in the Loess Plateau. Black locust was considered a promising tree for reforestation due to its fast growth and ability to fix atmospheric nitrogen and has become the pioneer tree in the Loess Plateau </w:t>
            </w:r>
            <w:r w:rsidR="00910E28" w:rsidRPr="00E205FC">
              <w:rPr>
                <w:color w:val="000000" w:themeColor="text1"/>
              </w:rPr>
              <w:fldChar w:fldCharType="begin"/>
            </w:r>
            <w:r w:rsidR="00910E28" w:rsidRPr="00E205FC">
              <w:rPr>
                <w:color w:val="000000" w:themeColor="text1"/>
              </w:rPr>
              <w:instrText xml:space="preserve"> ADDIN ZOTERO_ITEM CSL_CITATION {"citationID":"FUqZJ3FP","properties":{"formattedCitation":"(Wang et al. 2012)","plainCitation":"(Wang et al. 2012)","noteIndex":0},"citationItems":[{"id":699,"uris":["http://zotero.org/users/6602900/items/L9E5Q8PC"],"uri":["http://zotero.org/users/6602900/items/L9E5Q8PC"],"itemData":{"id":699,"type":"article-journal","abstract":"Black locust (Robinia pseudoacacia) has been widely planted in the Chinese Loess Plateau for soil and water conservation as an important forest species. This study examined variations in topsoil organic C (OC), total N and P (TN and TP), available N, P and K (AN, AP and AK), and soil microbial biomass C, N and P (SMBC, SMBN and SMBP) contents and the activity of urease (URE), α-amylase (ALA), alkaline phosphatase (ALP), catalase (CAT), saccharase (SAC), polyphenol oxidase (PPO) and cellulase (CEL) in loessial soil of black locust with an age sequence of 5, 10 15, 20, 25, 30, 40 and 50 years in Zhifanggou watershed (8.27 km2), Shaanxi Province, Northwest China. Also cultivated fields and 80-year Chinese arborvitae (Platycladus orientalis) were selected for the comparison. The results showed that soil chemical properties, microbial biomasses and soil enzyme activities varied with the restoration age. After 50-year growth of black locust, OC, TN, AN, TP, AK, SMBC, SMBN, SMBP, URE, ALP, SAC and CEL in soil increased by 262, 193, 345, 22, 36, 210, 136, 85, 90, 108, 288 and 36%, respectively, while PPO decreased by 31%. Soil chemical properties of TN and soil microbial biomass of SMBC were linearly correlated with soil enzymes of URE, ALP and SAC. Moreover, nitrogen fixation of black locusts was not evident before it became mature, but more evident after it reached maturity. The results confirmed that black locusts have long-term benefits on the improvement of soil properties as exotic species on the Loess Plateau for the soil properties under black locusts were greatly improved compared to cultivated fields.","container-title":"Environmental Earth Sciences","DOI":"10.1007/s12665-011-1107-8","ISSN":"1866-6299","issue":"3","journalAbbreviation":"Environmental Earth Sciences","page":"597-607","title":"Effect of black locust (Robinia pseudoacacia) on soil chemical and microbiological properties in the eroded hilly area of China’s Loess Plateau","volume":"65","author":[{"family":"Wang","given":"Bing"},{"family":"Liu","given":"Guobin"},{"family":"Xue","given":"Sha"}],"issued":{"date-parts":[["2012",2,1]]}}}],"schema":"https://github.com/citation-style-language/schema/raw/master/csl-citation.json"} </w:instrText>
            </w:r>
            <w:r w:rsidR="00910E28" w:rsidRPr="00E205FC">
              <w:rPr>
                <w:color w:val="000000" w:themeColor="text1"/>
              </w:rPr>
              <w:fldChar w:fldCharType="separate"/>
            </w:r>
            <w:r w:rsidR="00026EED" w:rsidRPr="00026EED">
              <w:t>(Wang et al. 2012)</w:t>
            </w:r>
            <w:r w:rsidR="00910E28" w:rsidRPr="00E205FC">
              <w:rPr>
                <w:color w:val="000000" w:themeColor="text1"/>
              </w:rPr>
              <w:fldChar w:fldCharType="end"/>
            </w:r>
            <w:r w:rsidR="00910E28" w:rsidRPr="00E205FC">
              <w:rPr>
                <w:color w:val="000000" w:themeColor="text1"/>
              </w:rPr>
              <w:t>.</w:t>
            </w:r>
            <w:r w:rsidRPr="00C9564D">
              <w:rPr>
                <w:color w:val="000000" w:themeColor="text1"/>
              </w:rPr>
              <w:t xml:space="preserve"> </w:t>
            </w:r>
          </w:p>
        </w:tc>
      </w:tr>
      <w:tr w:rsidR="00A57294" w:rsidRPr="00C9564D" w14:paraId="020C6933" w14:textId="77777777" w:rsidTr="00830EE5">
        <w:tc>
          <w:tcPr>
            <w:tcW w:w="3129" w:type="dxa"/>
          </w:tcPr>
          <w:p w14:paraId="085678A5" w14:textId="77777777" w:rsidR="00A57294" w:rsidRPr="00C9564D" w:rsidRDefault="00A57294" w:rsidP="00D06125">
            <w:pPr>
              <w:spacing w:before="120" w:after="120"/>
              <w:jc w:val="both"/>
              <w:rPr>
                <w:color w:val="000000" w:themeColor="text1"/>
              </w:rPr>
            </w:pPr>
            <w:r w:rsidRPr="00C9564D">
              <w:rPr>
                <w:color w:val="000000" w:themeColor="text1"/>
              </w:rPr>
              <w:t>Protection forest</w:t>
            </w:r>
          </w:p>
          <w:p w14:paraId="785F18F9" w14:textId="77777777" w:rsidR="00DC1D11" w:rsidRPr="00C9564D" w:rsidRDefault="00DC1D11" w:rsidP="00DC1D11">
            <w:pPr>
              <w:spacing w:before="120" w:after="120"/>
              <w:jc w:val="both"/>
              <w:rPr>
                <w:color w:val="000000" w:themeColor="text1"/>
              </w:rPr>
            </w:pPr>
            <w:r w:rsidRPr="00C9564D">
              <w:rPr>
                <w:color w:val="2F5496" w:themeColor="accent1" w:themeShade="BF"/>
              </w:rPr>
              <w:t>[RELEASE in nature, Landscape/flora/fauna “improvement” in the wild]</w:t>
            </w:r>
          </w:p>
          <w:p w14:paraId="7467C755" w14:textId="01572C98" w:rsidR="00DC1D11" w:rsidRPr="00C9564D" w:rsidRDefault="00DC1D11" w:rsidP="00D06125">
            <w:pPr>
              <w:spacing w:before="120" w:after="120"/>
              <w:jc w:val="both"/>
              <w:rPr>
                <w:color w:val="000000" w:themeColor="text1"/>
              </w:rPr>
            </w:pPr>
          </w:p>
        </w:tc>
        <w:tc>
          <w:tcPr>
            <w:tcW w:w="3129" w:type="dxa"/>
          </w:tcPr>
          <w:p w14:paraId="4C56F859" w14:textId="0FF28EDA" w:rsidR="00A57294" w:rsidRPr="003B2822" w:rsidRDefault="00A8033F" w:rsidP="00830EE5">
            <w:pPr>
              <w:spacing w:before="120" w:after="120"/>
              <w:rPr>
                <w:i/>
                <w:iCs/>
                <w:color w:val="000000" w:themeColor="text1"/>
                <w:lang w:val="it-IT"/>
              </w:rPr>
            </w:pPr>
            <w:r w:rsidRPr="003B2822">
              <w:rPr>
                <w:i/>
                <w:iCs/>
                <w:color w:val="000000" w:themeColor="text1"/>
                <w:lang w:val="it-IT"/>
              </w:rPr>
              <w:t xml:space="preserve">Acacia </w:t>
            </w:r>
            <w:r w:rsidRPr="003B2822">
              <w:rPr>
                <w:color w:val="000000" w:themeColor="text1"/>
                <w:lang w:val="it-IT"/>
              </w:rPr>
              <w:t>sp</w:t>
            </w:r>
            <w:r w:rsidR="00DC1D11" w:rsidRPr="003B2822">
              <w:rPr>
                <w:color w:val="000000" w:themeColor="text1"/>
                <w:lang w:val="it-IT"/>
              </w:rPr>
              <w:t>.</w:t>
            </w:r>
            <w:r w:rsidR="001E1309" w:rsidRPr="003B2822">
              <w:rPr>
                <w:color w:val="000000" w:themeColor="text1"/>
                <w:lang w:val="it-IT"/>
              </w:rPr>
              <w:t xml:space="preserve"> </w:t>
            </w:r>
            <w:r w:rsidR="00DC1D11" w:rsidRPr="003B2822">
              <w:rPr>
                <w:color w:val="000000" w:themeColor="text1"/>
                <w:lang w:val="it-IT"/>
              </w:rPr>
              <w:t>pl.</w:t>
            </w:r>
            <w:r w:rsidR="00DC1D11" w:rsidRPr="003B2822">
              <w:rPr>
                <w:i/>
                <w:iCs/>
                <w:color w:val="000000" w:themeColor="text1"/>
                <w:lang w:val="it-IT"/>
              </w:rPr>
              <w:t>, Robinia pseudoacacia, Ailanthus altissima</w:t>
            </w:r>
          </w:p>
        </w:tc>
        <w:tc>
          <w:tcPr>
            <w:tcW w:w="7327" w:type="dxa"/>
          </w:tcPr>
          <w:p w14:paraId="3F823A89" w14:textId="75D99A30" w:rsidR="00A57294" w:rsidRPr="00C9564D" w:rsidRDefault="00A8033F" w:rsidP="00D06125">
            <w:pPr>
              <w:spacing w:before="120" w:after="120"/>
              <w:jc w:val="both"/>
              <w:rPr>
                <w:color w:val="000000" w:themeColor="text1"/>
              </w:rPr>
            </w:pPr>
            <w:r w:rsidRPr="00C9564D">
              <w:rPr>
                <w:color w:val="000000" w:themeColor="text1"/>
              </w:rPr>
              <w:t xml:space="preserve">The term protection forest is used inconsistently and sometimes misleadingly in various countries and regions. </w:t>
            </w:r>
            <w:r w:rsidRPr="00C9564D">
              <w:t xml:space="preserve">The forest of </w:t>
            </w:r>
            <w:r w:rsidRPr="00C9564D">
              <w:rPr>
                <w:rStyle w:val="Emphasis"/>
              </w:rPr>
              <w:t>Robinia pseudoacacia</w:t>
            </w:r>
            <w:r w:rsidRPr="00C9564D">
              <w:t xml:space="preserve"> in the Yellow River Delta (YRD) is the largest artificial ecological protection forest in China </w:t>
            </w:r>
            <w:r w:rsidRPr="00C9564D">
              <w:fldChar w:fldCharType="begin"/>
            </w:r>
            <w:r w:rsidRPr="00C9564D">
              <w:instrText xml:space="preserve"> ADDIN ZOTERO_ITEM CSL_CITATION {"citationID":"MMfpihrW","properties":{"formattedCitation":"(Lu et al. 2020)","plainCitation":"(Lu et al. 2020)","noteIndex":0},"citationItems":[{"id":582,"uris":["http://zotero.org/users/6602900/items/7FD4AUKC"],"uri":["http://zotero.org/users/6602900/items/7FD4AUKC"],"itemData":{"id":582,"type":"article-journal","abstract":"Forest plantations are an important source of terrestrial carbon sequestration. The forest of Robinia pseudoacacia in the Yellow River Delta (YRD) is the largest artificial ecological protection forest in China. However, more than half of the forest has appeared different degrees of dieback and even death since the 1990s. Timely and accurate estimation of the forest aboveground biomass (AGB) is a basis for studying the carbon cycle of forests. Light Detecting and Ranging (LiDAR) has been proved to be one of the most powerful methods for forest biomass estimation. However, because of an irregular and overlapping shape of the broadleaved forest canopy in a growing season, it is difficult to segment individual trees and estimate the tree biomass from airborne LiDAR data. In this study, a new method was proposed to solve this problem of individual tree detection in the Robinia pseudoacacia forest based on a combination of the Unmanned Aerial Vehicle-Light Detecting and Ranging (UAV-LiDAR) with the Backpack-LiDAR. The proposed method mainly consists of following steps: (i) at a plot level, trees in the UAV-LiDAR data were detected by seed points obtained by an individual tree segmentation (ITS) method from the Backpack-LiDAR data; (ii) height and diameter at breast height (DBH) of an individual tree would be extracted from UAV and Backpack LiDAR data, respectively; (iii) the individual tree AGB would be calculated through an allometric equation and the forest AGB at the plot level was accumulated; and (iv) the plot-level forest AGB was taken as a dependent variable, and various metrics extracted from UAV-LiDAR point cloud data as independent variables to estimate forest AGB distribution in the study area by using both multiple linear regression (MLR) and random forest (RF) models. The results demonstrate that: (1) the seed points extracted from Backpack-LiDAR could significantly improve the overall accuracy of individual tree detection (F = 0.99), and thus increase the forest AGB estimation accuracy; (2) compared with MLR model, the RF model led to a higher estimation accuracy (p &lt; 0.05); and (3) LiDAR intensity information selected by both MLR and RF models and laser penetration rate (LP) played an important role in estimating healthy forest AGB.","container-title":"International Journal of Applied Earth Observation and Geoinformation","DOI":"10.1016/j.jag.2019.102014","ISSN":"0303-2434","journalAbbreviation":"International Journal of Applied Earth Observation and Geoinformation","page":"102014","title":"Estimation of aboveground biomass of Robinia pseudoacacia forest in the Yellow River Delta based on UAV and Backpack LiDAR point clouds","volume":"86","author":[{"family":"Lu","given":"Jinbo"},{"family":"Wang","given":"Hong"},{"family":"Qin","given":"Shuhong"},{"family":"Cao","given":"Lin"},{"family":"Pu","given":"Ruiliang"},{"family":"Li","given":"Guilin"},{"family":"Sun","given":"Jing"}],"issued":{"date-parts":[["2020",4,1]]}}}],"schema":"https://github.com/citation-style-language/schema/raw/master/csl-citation.json"} </w:instrText>
            </w:r>
            <w:r w:rsidRPr="00C9564D">
              <w:fldChar w:fldCharType="separate"/>
            </w:r>
            <w:r w:rsidR="00026EED" w:rsidRPr="00026EED">
              <w:t>(Lu et al. 2020)</w:t>
            </w:r>
            <w:r w:rsidRPr="00C9564D">
              <w:fldChar w:fldCharType="end"/>
            </w:r>
            <w:r w:rsidRPr="00C9564D">
              <w:t xml:space="preserve">. </w:t>
            </w:r>
            <w:r w:rsidRPr="00C9564D">
              <w:rPr>
                <w:i/>
                <w:iCs/>
              </w:rPr>
              <w:t>Ailanthus altissima</w:t>
            </w:r>
            <w:r w:rsidRPr="00C9564D">
              <w:t xml:space="preserve"> invades protection forests in southern Switzerland, where it shows a higher drought resistance than its main competitor </w:t>
            </w:r>
            <w:r w:rsidRPr="00C9564D">
              <w:rPr>
                <w:i/>
                <w:iCs/>
              </w:rPr>
              <w:t>Castanea sativa</w:t>
            </w:r>
            <w:r w:rsidRPr="00C9564D">
              <w:t xml:space="preserve">. Locally observed high frequencies of decay in </w:t>
            </w:r>
            <w:r w:rsidRPr="00C9564D">
              <w:rPr>
                <w:i/>
                <w:iCs/>
              </w:rPr>
              <w:t>A. altissima</w:t>
            </w:r>
            <w:r w:rsidRPr="00C9564D">
              <w:t xml:space="preserve"> and </w:t>
            </w:r>
            <w:r w:rsidRPr="00C9564D">
              <w:rPr>
                <w:i/>
                <w:iCs/>
              </w:rPr>
              <w:t>C. sativa</w:t>
            </w:r>
            <w:r w:rsidRPr="00C9564D">
              <w:t xml:space="preserve"> suggest that the analysed protection forests may have a limited ability to protect from rockfall</w:t>
            </w:r>
            <w:r w:rsidR="00DC1D11" w:rsidRPr="00C9564D">
              <w:t xml:space="preserve"> </w:t>
            </w:r>
            <w:r w:rsidR="00DC1D11" w:rsidRPr="00C9564D">
              <w:fldChar w:fldCharType="begin"/>
            </w:r>
            <w:r w:rsidR="00DC1D11" w:rsidRPr="00C9564D">
              <w:instrText xml:space="preserve"> ADDIN ZOTERO_ITEM CSL_CITATION {"citationID":"74O8hW7M","properties":{"formattedCitation":"(Kn\\uc0\\u252{}sel et al. 2015)","plainCitation":"(Knüsel et al. 2015)","noteIndex":0},"citationItems":[{"id":583,"uris":["http://zotero.org/users/6602900/items/MNAQRGS7"],"uri":["http://zotero.org/users/6602900/items/MNAQRGS7"],"itemData":{"id":583,"type":"article-journal","abstract":"Since around the 1950s the invasive tree of heaven (Ailanthus altissima (Mill.) Swingle) is spreading in several forests of southern Switzerland. To estimate the implications of the invasion of A. altissima in forests protecting humans and infrastructure from rockfall (protection forests) we compared stem growth dynamics and decay frequency of A. altissima with sweet chestnut (Castanea sativa Mill.) one of its main local competitors. Comparisons were based on dendroecological analyses and phytopathological observations on 52 A. altissima and 50 C. sativa trees from three sites in southern Switzerland. Results revealed slower radial growth of A. altissima compared to C. sativa. Climate–growth relationships showed that both species weakly respond to mean monthly temperature and precipitation sums. However, growth reductions to the severe drought years 1976 and 2003 were stronger for C. sativa compared to A. altissima, confirming the generally assumed high drought resistance of A. altissima, which may promote the species with climate warming. The incidence of heart rot varied considerably across sites and species. Locally observed high frequencies of decay in A. altissima and C. sativa suggest that the analysed protection forests may have a limited ability to protect from rockfall. Our study supplies a first long-term tree-ring based perspective on growth dynamics and decay frequency of A. altissima that can be used to complement current knowledge on the invasive behaviour of the species as a basis to adapt and optimise management of protection forests in southern Switzerland and beyond.","container-title":"Forest Ecology and Management","DOI":"10.1016/j.foreco.2015.05.010","ISSN":"0378-1127","journalAbbreviation":"Forest Ecology and Management","page":"334-343","title":"A tree-ring perspective on the invasion of Ailanthus altissima in protection forests","volume":"354","author":[{"family":"Knüsel","given":"Simon"},{"family":"Conedera","given":"Marco"},{"family":"Rigling","given":"Andreas"},{"family":"Fonti","given":"Patrick"},{"family":"Wunder","given":"Jan"}],"issued":{"date-parts":[["2015",10,15]]}}}],"schema":"https://github.com/citation-style-language/schema/raw/master/csl-citation.json"} </w:instrText>
            </w:r>
            <w:r w:rsidR="00DC1D11" w:rsidRPr="00C9564D">
              <w:fldChar w:fldCharType="separate"/>
            </w:r>
            <w:r w:rsidR="00026EED" w:rsidRPr="00026EED">
              <w:t>(Knüsel et al. 2015)</w:t>
            </w:r>
            <w:r w:rsidR="00DC1D11" w:rsidRPr="00C9564D">
              <w:fldChar w:fldCharType="end"/>
            </w:r>
            <w:r w:rsidRPr="00C9564D">
              <w:t>.</w:t>
            </w:r>
          </w:p>
        </w:tc>
      </w:tr>
      <w:tr w:rsidR="00A57294" w:rsidRPr="00C9564D" w14:paraId="06BC34DE" w14:textId="77777777" w:rsidTr="00830EE5">
        <w:tc>
          <w:tcPr>
            <w:tcW w:w="3129" w:type="dxa"/>
          </w:tcPr>
          <w:p w14:paraId="312C6B52" w14:textId="01ECDED4" w:rsidR="00A57294" w:rsidRPr="00C9564D" w:rsidRDefault="00A57294" w:rsidP="00D06125">
            <w:pPr>
              <w:spacing w:before="120" w:after="120"/>
              <w:jc w:val="both"/>
              <w:rPr>
                <w:color w:val="000000" w:themeColor="text1"/>
              </w:rPr>
            </w:pPr>
            <w:r w:rsidRPr="00C9564D">
              <w:rPr>
                <w:color w:val="000000" w:themeColor="text1"/>
              </w:rPr>
              <w:t>Short-Rotation Forestry, Short-Rotation Coppice</w:t>
            </w:r>
            <w:r w:rsidR="00C95EA7" w:rsidRPr="00C9564D">
              <w:rPr>
                <w:color w:val="000000" w:themeColor="text1"/>
              </w:rPr>
              <w:t>, Bioenergy</w:t>
            </w:r>
          </w:p>
          <w:p w14:paraId="101DFF90" w14:textId="77777777" w:rsidR="00A57294" w:rsidRPr="00C9564D" w:rsidRDefault="00A57294" w:rsidP="00D06125">
            <w:pPr>
              <w:spacing w:before="120" w:after="120"/>
              <w:jc w:val="both"/>
              <w:rPr>
                <w:color w:val="000000" w:themeColor="text1"/>
              </w:rPr>
            </w:pPr>
            <w:r w:rsidRPr="00C9564D">
              <w:rPr>
                <w:color w:val="2F5496" w:themeColor="accent1" w:themeShade="BF"/>
              </w:rPr>
              <w:t>[ESCAPE from confinement, Forestry (including afforestation or reforestation)]</w:t>
            </w:r>
          </w:p>
        </w:tc>
        <w:tc>
          <w:tcPr>
            <w:tcW w:w="3129" w:type="dxa"/>
          </w:tcPr>
          <w:p w14:paraId="69E1E877" w14:textId="603BE506" w:rsidR="00A57294" w:rsidRPr="00C9564D" w:rsidRDefault="00A57294" w:rsidP="00BA28D3">
            <w:pPr>
              <w:spacing w:before="120" w:after="120"/>
              <w:rPr>
                <w:color w:val="000000" w:themeColor="text1"/>
              </w:rPr>
            </w:pPr>
            <w:r w:rsidRPr="00C9564D">
              <w:rPr>
                <w:color w:val="000000" w:themeColor="text1"/>
              </w:rPr>
              <w:t xml:space="preserve">Fast-growing poplars and willows. </w:t>
            </w:r>
            <w:r w:rsidRPr="00C9564D">
              <w:rPr>
                <w:i/>
                <w:color w:val="000000" w:themeColor="text1"/>
              </w:rPr>
              <w:t>Salix viminalis</w:t>
            </w:r>
            <w:r w:rsidRPr="00C9564D">
              <w:rPr>
                <w:color w:val="000000" w:themeColor="text1"/>
              </w:rPr>
              <w:t xml:space="preserve"> in Europe and </w:t>
            </w:r>
            <w:r w:rsidRPr="00C9564D">
              <w:rPr>
                <w:i/>
                <w:color w:val="000000" w:themeColor="text1"/>
              </w:rPr>
              <w:t>S. eriocephala</w:t>
            </w:r>
            <w:r w:rsidRPr="00C9564D">
              <w:rPr>
                <w:color w:val="000000" w:themeColor="text1"/>
              </w:rPr>
              <w:t xml:space="preserve"> in North America and Canada. </w:t>
            </w:r>
            <w:r w:rsidRPr="00C9564D">
              <w:rPr>
                <w:i/>
                <w:color w:val="000000" w:themeColor="text1"/>
              </w:rPr>
              <w:t>S. dasyclados</w:t>
            </w:r>
            <w:r w:rsidRPr="00C9564D">
              <w:rPr>
                <w:color w:val="000000" w:themeColor="text1"/>
              </w:rPr>
              <w:t xml:space="preserve">, </w:t>
            </w:r>
            <w:r w:rsidRPr="00C9564D">
              <w:rPr>
                <w:i/>
                <w:color w:val="000000" w:themeColor="text1"/>
              </w:rPr>
              <w:t>S. schwerinii</w:t>
            </w:r>
            <w:r w:rsidRPr="00C9564D">
              <w:rPr>
                <w:color w:val="000000" w:themeColor="text1"/>
              </w:rPr>
              <w:t xml:space="preserve">, </w:t>
            </w:r>
            <w:r w:rsidRPr="00C9564D">
              <w:rPr>
                <w:i/>
                <w:color w:val="000000" w:themeColor="text1"/>
              </w:rPr>
              <w:t>S. triandra</w:t>
            </w:r>
            <w:r w:rsidRPr="00C9564D">
              <w:rPr>
                <w:color w:val="000000" w:themeColor="text1"/>
              </w:rPr>
              <w:t xml:space="preserve">, </w:t>
            </w:r>
            <w:r w:rsidRPr="00C9564D">
              <w:rPr>
                <w:i/>
                <w:color w:val="000000" w:themeColor="text1"/>
              </w:rPr>
              <w:t>S. caprea</w:t>
            </w:r>
            <w:r w:rsidRPr="00C9564D">
              <w:rPr>
                <w:color w:val="000000" w:themeColor="text1"/>
              </w:rPr>
              <w:t xml:space="preserve">, </w:t>
            </w:r>
            <w:r w:rsidRPr="00C9564D">
              <w:rPr>
                <w:i/>
                <w:color w:val="000000" w:themeColor="text1"/>
              </w:rPr>
              <w:t>S. daphnoides</w:t>
            </w:r>
            <w:r w:rsidRPr="00C9564D">
              <w:rPr>
                <w:color w:val="000000" w:themeColor="text1"/>
              </w:rPr>
              <w:t xml:space="preserve"> and </w:t>
            </w:r>
            <w:r w:rsidRPr="00C9564D">
              <w:rPr>
                <w:i/>
                <w:color w:val="000000" w:themeColor="text1"/>
              </w:rPr>
              <w:t>S. purpurea</w:t>
            </w:r>
            <w:r w:rsidRPr="00C9564D">
              <w:rPr>
                <w:color w:val="000000" w:themeColor="text1"/>
              </w:rPr>
              <w:t xml:space="preserve">, and many varieties are interspecific hybrids. </w:t>
            </w:r>
            <w:r w:rsidRPr="00C9564D">
              <w:rPr>
                <w:i/>
                <w:color w:val="000000" w:themeColor="text1"/>
              </w:rPr>
              <w:t>Acacia angustissima</w:t>
            </w:r>
            <w:r w:rsidRPr="00C9564D">
              <w:rPr>
                <w:color w:val="000000" w:themeColor="text1"/>
              </w:rPr>
              <w:t xml:space="preserve">, </w:t>
            </w:r>
            <w:r w:rsidRPr="00C9564D">
              <w:rPr>
                <w:i/>
                <w:color w:val="000000" w:themeColor="text1"/>
              </w:rPr>
              <w:t>Gliricidia sepium</w:t>
            </w:r>
            <w:r w:rsidRPr="00C9564D">
              <w:rPr>
                <w:color w:val="000000" w:themeColor="text1"/>
              </w:rPr>
              <w:t xml:space="preserve"> and </w:t>
            </w:r>
            <w:r w:rsidRPr="00C9564D">
              <w:rPr>
                <w:i/>
                <w:color w:val="000000" w:themeColor="text1"/>
              </w:rPr>
              <w:t>Leucaena collinsii</w:t>
            </w:r>
            <w:r w:rsidRPr="00C9564D">
              <w:rPr>
                <w:color w:val="000000" w:themeColor="text1"/>
              </w:rPr>
              <w:t xml:space="preserve"> </w:t>
            </w:r>
            <w:r w:rsidRPr="00C9564D">
              <w:rPr>
                <w:color w:val="000000" w:themeColor="text1"/>
              </w:rPr>
              <w:lastRenderedPageBreak/>
              <w:t xml:space="preserve">in Zambia, </w:t>
            </w:r>
            <w:r w:rsidRPr="00C9564D">
              <w:rPr>
                <w:i/>
                <w:color w:val="000000" w:themeColor="text1"/>
              </w:rPr>
              <w:t>Eucalyptus</w:t>
            </w:r>
            <w:r w:rsidRPr="00C9564D">
              <w:rPr>
                <w:color w:val="000000" w:themeColor="text1"/>
              </w:rPr>
              <w:t xml:space="preserve"> sp</w:t>
            </w:r>
            <w:r w:rsidR="005A3C23">
              <w:rPr>
                <w:color w:val="000000" w:themeColor="text1"/>
              </w:rPr>
              <w:t xml:space="preserve">. </w:t>
            </w:r>
            <w:r w:rsidRPr="00C9564D">
              <w:rPr>
                <w:color w:val="000000" w:themeColor="text1"/>
              </w:rPr>
              <w:t>p</w:t>
            </w:r>
            <w:r w:rsidR="005A3C23">
              <w:rPr>
                <w:color w:val="000000" w:themeColor="text1"/>
              </w:rPr>
              <w:t>l</w:t>
            </w:r>
            <w:r w:rsidRPr="00C9564D">
              <w:rPr>
                <w:color w:val="000000" w:themeColor="text1"/>
              </w:rPr>
              <w:t xml:space="preserve">. and hybrids (e.g., </w:t>
            </w:r>
            <w:r w:rsidRPr="00C9564D">
              <w:rPr>
                <w:i/>
                <w:color w:val="000000" w:themeColor="text1"/>
              </w:rPr>
              <w:t>Eucalyptus grandis</w:t>
            </w:r>
            <w:r w:rsidRPr="00C9564D">
              <w:rPr>
                <w:color w:val="000000" w:themeColor="text1"/>
              </w:rPr>
              <w:t xml:space="preserve"> × </w:t>
            </w:r>
            <w:r w:rsidRPr="00C9564D">
              <w:rPr>
                <w:i/>
                <w:color w:val="000000" w:themeColor="text1"/>
              </w:rPr>
              <w:t>E. urophylla</w:t>
            </w:r>
            <w:r w:rsidRPr="00C9564D">
              <w:rPr>
                <w:color w:val="000000" w:themeColor="text1"/>
              </w:rPr>
              <w:t xml:space="preserve"> and freeze-tolerant </w:t>
            </w:r>
            <w:r w:rsidRPr="00C9564D">
              <w:rPr>
                <w:i/>
                <w:color w:val="000000" w:themeColor="text1"/>
              </w:rPr>
              <w:t>Eucalyptus</w:t>
            </w:r>
            <w:r w:rsidRPr="00C9564D">
              <w:rPr>
                <w:color w:val="000000" w:themeColor="text1"/>
              </w:rPr>
              <w:t xml:space="preserve"> clones), </w:t>
            </w:r>
            <w:r w:rsidRPr="00C9564D">
              <w:rPr>
                <w:i/>
                <w:color w:val="000000" w:themeColor="text1"/>
              </w:rPr>
              <w:t>Platanus occidentalis</w:t>
            </w:r>
            <w:r w:rsidRPr="00C9564D">
              <w:rPr>
                <w:color w:val="000000" w:themeColor="text1"/>
              </w:rPr>
              <w:t xml:space="preserve">, </w:t>
            </w:r>
            <w:r w:rsidRPr="00C9564D">
              <w:rPr>
                <w:i/>
                <w:color w:val="000000" w:themeColor="text1"/>
              </w:rPr>
              <w:t>Pinus taeda</w:t>
            </w:r>
            <w:r w:rsidRPr="00C9564D">
              <w:rPr>
                <w:color w:val="000000" w:themeColor="text1"/>
              </w:rPr>
              <w:t xml:space="preserve">, </w:t>
            </w:r>
            <w:r w:rsidRPr="00C9564D">
              <w:rPr>
                <w:i/>
                <w:color w:val="000000" w:themeColor="text1"/>
              </w:rPr>
              <w:t>Liquidambar styraciflua</w:t>
            </w:r>
            <w:r w:rsidR="005A3C23">
              <w:rPr>
                <w:i/>
                <w:color w:val="000000" w:themeColor="text1"/>
              </w:rPr>
              <w:t>,</w:t>
            </w:r>
            <w:r w:rsidR="000A02BC" w:rsidRPr="00C9564D">
              <w:rPr>
                <w:i/>
                <w:color w:val="000000" w:themeColor="text1"/>
              </w:rPr>
              <w:t xml:space="preserve"> Robinia pseudoacacia</w:t>
            </w:r>
          </w:p>
        </w:tc>
        <w:tc>
          <w:tcPr>
            <w:tcW w:w="7327" w:type="dxa"/>
          </w:tcPr>
          <w:p w14:paraId="1A9FFD11" w14:textId="196BC023" w:rsidR="00A57294" w:rsidRPr="00E205FC" w:rsidRDefault="00A57294" w:rsidP="00D06125">
            <w:pPr>
              <w:spacing w:before="120" w:after="120"/>
              <w:jc w:val="both"/>
              <w:rPr>
                <w:color w:val="000000" w:themeColor="text1"/>
              </w:rPr>
            </w:pPr>
            <w:r w:rsidRPr="00C9564D">
              <w:rPr>
                <w:color w:val="000000" w:themeColor="text1"/>
              </w:rPr>
              <w:lastRenderedPageBreak/>
              <w:t>Two main drivers have pushed renewable energy production to the top of global agendas: climate change and energy security. At the regional scale, significant uncertainties exist and there is a major concern that extensive commercial production with invasive alien trees could have negative effects on biodiversity, in particular in areas of high nature-conservation value. On the contrary, integration of biomass species into agricultural landscapes could stimulate rural economy, thus counteracting to some extent negative impacts of farm abandonment or supporting restoration of degraded land, resulting in improved biodiversity values</w:t>
            </w:r>
            <w:r w:rsidR="00FF74DE" w:rsidRPr="00C9564D">
              <w:rPr>
                <w:color w:val="000000" w:themeColor="text1"/>
              </w:rPr>
              <w:t xml:space="preserve"> </w:t>
            </w:r>
            <w:r w:rsidR="00FF74DE" w:rsidRPr="00C9564D">
              <w:rPr>
                <w:color w:val="000000" w:themeColor="text1"/>
              </w:rPr>
              <w:fldChar w:fldCharType="begin"/>
            </w:r>
            <w:r w:rsidR="00891941" w:rsidRPr="00C9564D">
              <w:rPr>
                <w:color w:val="000000" w:themeColor="text1"/>
              </w:rPr>
              <w:instrText xml:space="preserve"> ADDIN ZOTERO_ITEM CSL_CITATION {"citationID":"6ZeK2yYq","properties":{"formattedCitation":"(K. R\\uc0\\u233{}dei and I. Veperdi 2009; Gr\\uc0\\u252{}newald et al. 2009; Kaonga 2012)","plainCitation":"(K. Rédei and I. Veperdi 2009; Grünewald et al. 2009; Kaonga 2012)","dontUpdate":true,"noteIndex":0},"citationItems":[{"id":586,"uris":["http://zotero.org/users/6602900/items/FT28V934"],"uri":["http://zotero.org/users/6602900/items/FT28V934"],"itemData":{"id":586,"type":"article-journal","abstract":"Establishment of short-rotation energy plantations for fuel production has been of international interest for many years. Energy plantation experiments in Hungary have been conducted for a longer time. In the country black locust ( Robinia ps eudoacacia L.) is one of the most important stand-forming tree species, covering approximately 23% of the forested land (410 000 ha) and providing about 19% of the annual timber output of the country. This fast growing species seems to be suitable for energy plantations as well. So, in Helvecia (Central­ Hungary, sand-soil region) two energy plantation s were established u sing common black locust and its cultivars improved in Hungary. The spacing variations of the common black locust were: l.5x0.3 m, I .5x0.5 m and l.5x 1.0 m. At the age of 5 the closest spacing ( 1.5x0.3m) produced the greatest annual increment in oven-dry weight (6.5 t ha·1 yr- 1). In the trial with black locust cultivars planted in spacing of 1.5xl.0m, at the age of 7 the highest annual increment in oven-dry mass was produced by the cultivar ' Ulloi' (9.7 t ha-1&amp;nbsp;yr- 1) followed by the common black locust (8.4 t ha-1&amp;nbsp;yr- 1) and the cultivar 'J tiszkiseri (1.6 t ha·1 yr- 1). The trials have verified that in temperate climate the increment in oven­ dry dendromass of black locust energy plantation s has ranged from 6 to 12 t ha·1 yr·1. On the basis of the trials' evaluation the quantity of dendromass mostly depends on site quality, species and cultivars, as well as on the initial spacing (plants per hectare).","container-title":"International Journal of Horticultural Science","DOI":"10.31421/IJHS/15/3/832","issue":"3","journalAbbreviation":"Int. j. hortic. sci.","note":"section: Articles","title":"The role of black locust (Robinia pseudoacacia L.) in establishment of short-rotation energy plantations in Hungary","URL":"https://ojs.lib.unideb.hu/IJHS/article/view/832","volume":"15","author":[{"literal":"K. Rédei"},{"literal":"I. Veperdi"}],"accessed":{"date-parts":[["2020",6,6]]},"issued":{"date-parts":[["2009",5,20]]}}},{"id":585,"uris":["http://zotero.org/users/6602900/items/6FC3K9KF"],"uri":["http://zotero.org/users/6602900/items/6FC3K9KF"],"itemData":{"id":585,"type":"article-journal","abstract":"Experiments with fast-growing tree species for biomass production in Germany have been mainly focused on the growth performance of Populus and Salix spp. Among the lesser-known species for energy plantations is Robinia pseudoacacia L. Special features of this species are its drought tolerance and its ability to fix nitrogen. Given the large share of marginal arable land in NE-Germany and the predicted climate change, R. pseudoacacia is expected to grow in importance. In order to evaluate the growth performance of this species under extreme conditions, four experiments were established in the post-mining landscape of the Lusatian lignite-mining district (NE-Germany). Biomass production was estimated for 3- to 14-year-old shoots on 4- to 14-year-old roots. Results for the annual production of oven-dried biomass of R. pseudoacacia ranged between 3 and 10 t ha−1, which was substantially greater than the biomass of poplar and willow clones established on the same site. Economic analysis results show that the rotation period, the duration of the plantation, and the harvesting costs are important parameters for the economic return and cash flow in short-rotation coppice cultivation. The results show that the cultivation of R. pseudoacacia is an economically competitive land-use strategy for the post-mining landscapes considered in our study.","container-title":"BioEnergy Research","DOI":"10.1007/s12155-009-9038-x","ISSN":"1939-1242","issue":"3","journalAbbreviation":"BioEnergy Research","page":"123-133","title":"Robinia pseudoacacia L.: A Lesser Known Tree Species for Biomass Production","volume":"2","author":[{"family":"Grünewald","given":"Holger"},{"family":"Böhm","given":"Christian"},{"family":"Quinkenstein","given":"Ansgar"},{"family":"Grundmann","given":"Philipp"},{"family":"Eberts","given":"Jörg"},{"family":"Wühlisch","given":"Georg","non-dropping-particle":"von"}],"issued":{"date-parts":[["2009",9,1]]}}},{"id":584,"uris":["http://zotero.org/users/6602900/items/6AIAWN4D"],"uri":["http://zotero.org/users/6602900/items/6AIAWN4D"],"itemData":{"id":584,"type":"article-journal","abstract":"A study was conducted at Msekera Regional Agricultural Research Station in eastern Zambia to (1) describe canopy branching properties of Acacia angustissima, Gliricidia sepium and Leucaena collinsii in short rotation forests, (2) test the existence of self similarity from repeated iteration of a structural unit in tree canopies, (3) examined intra-specific relationships between functional branching characteristics, and (4) determine whether allometric equations for relating aboveground tree biomass to fractal properties could accurately predict aboveground biomass. Measurements of basal diameter (D10) at 10cm aboveground and total height (H), and aboveground biomass of 27 trees were taken, but only nine trees representative of variability of the stand and the three species were processed for functional branching analyses (FBA) of the shoot systems. For each species, fractal properties of three trees, including fractal dimension (Dfract), bifurcation ratios (p) and proportionality ratios (q) of branching points were assessed. The slope of the linear regression of p on proximal diameter was not significantly different (P &lt; 0.01) from zero and hence the assumption that p is independent of scale, a pre-requisite for use of fra</w:instrText>
            </w:r>
            <w:r w:rsidR="00891941" w:rsidRPr="00E205FC">
              <w:rPr>
                <w:color w:val="000000" w:themeColor="text1"/>
              </w:rPr>
              <w:instrText xml:space="preserve">ctal branching rules to describe a fractal tree canopy, was fulfilled at branching orders with link diameters &gt;1.5 cm. The proportionality ration q for branching patterns of all tree species was constant at all scales. The proportion of q values &gt;0.9 (fq) was 0.8 for all species. Mean fractal dimension (Dfract) values (1.5–1.7) for all species showed that branching patterns had an increasing magnitude of intricacy. Since Dfract values were ≥1.5, branching patterns within species were self similar. Basal diameter (D10), proximal diameter and Dfract described most of variations in aboveground biomass, suggesting that allometric equations for relating aboveground tree biomass to fractal properties could accurately predict aboveground biomass. Thus, assessed Acacia, Gliricidia and Leucaena trees were fractals and their branching properties could be used to describe variability in size and aboveground biomass.","container-title":"Journal of Forestry Research","DOI":"10.1007/s11676-012-0227-7","ISSN":"1993-0607","issue":"1","journalAbbreviation":"Journal of Forestry Research","page":"1-12","title":"Fractal analysis of canopy architectures of Acacia angustissima, Gliricidia sepium, and Leucaena collinsii for estimation of aboveground biomass in a short rotation forest in eastern Zambia","volume":"23","author":[{"family":"Kaonga","given":"Martin L."}],"issued":{"date-parts":[["2012",3,1]]}}}],"schema":"https://github.com/citation-style-language/schema/raw/master/csl-citation.json"} </w:instrText>
            </w:r>
            <w:r w:rsidR="00FF74DE" w:rsidRPr="00C9564D">
              <w:rPr>
                <w:color w:val="000000" w:themeColor="text1"/>
              </w:rPr>
              <w:fldChar w:fldCharType="separate"/>
            </w:r>
            <w:r w:rsidR="00FF74DE" w:rsidRPr="00E205FC">
              <w:t>(e.g., K. Rédei and I. Veperdi 2009; Grünewald et al. 2009; Kaonga 2012)</w:t>
            </w:r>
            <w:r w:rsidR="00FF74DE" w:rsidRPr="00C9564D">
              <w:rPr>
                <w:color w:val="000000" w:themeColor="text1"/>
              </w:rPr>
              <w:fldChar w:fldCharType="end"/>
            </w:r>
            <w:r w:rsidRPr="00E205FC">
              <w:rPr>
                <w:color w:val="000000" w:themeColor="text1"/>
              </w:rPr>
              <w:t xml:space="preserve">. </w:t>
            </w:r>
          </w:p>
        </w:tc>
      </w:tr>
      <w:tr w:rsidR="005563D5" w:rsidRPr="00C9564D" w14:paraId="6906D55C" w14:textId="77777777" w:rsidTr="00830EE5">
        <w:tc>
          <w:tcPr>
            <w:tcW w:w="3129" w:type="dxa"/>
          </w:tcPr>
          <w:p w14:paraId="7D44EB42" w14:textId="77777777" w:rsidR="005563D5" w:rsidRPr="00C9564D" w:rsidRDefault="005563D5" w:rsidP="005563D5">
            <w:pPr>
              <w:spacing w:before="120" w:after="120"/>
              <w:jc w:val="both"/>
              <w:rPr>
                <w:color w:val="000000" w:themeColor="text1"/>
              </w:rPr>
            </w:pPr>
            <w:r w:rsidRPr="00C9564D">
              <w:rPr>
                <w:color w:val="000000" w:themeColor="text1"/>
              </w:rPr>
              <w:t>Agroforestry &amp; afforestation of agricultural land</w:t>
            </w:r>
          </w:p>
          <w:p w14:paraId="58022F2C" w14:textId="77777777" w:rsidR="005563D5" w:rsidRPr="00C9564D" w:rsidRDefault="005563D5" w:rsidP="005563D5">
            <w:pPr>
              <w:spacing w:before="120" w:after="120"/>
              <w:jc w:val="both"/>
              <w:rPr>
                <w:color w:val="000000" w:themeColor="text1"/>
              </w:rPr>
            </w:pPr>
            <w:r w:rsidRPr="00C9564D">
              <w:rPr>
                <w:color w:val="2F5496" w:themeColor="accent1" w:themeShade="BF"/>
              </w:rPr>
              <w:t>[ESCAPE from confinement, Forestry (including afforestation or reforestation)]</w:t>
            </w:r>
          </w:p>
        </w:tc>
        <w:tc>
          <w:tcPr>
            <w:tcW w:w="3129" w:type="dxa"/>
          </w:tcPr>
          <w:p w14:paraId="66D88FE9" w14:textId="592E3811" w:rsidR="005563D5" w:rsidRPr="00C9564D" w:rsidRDefault="005563D5" w:rsidP="00F70ADA">
            <w:pPr>
              <w:spacing w:before="120" w:after="120"/>
              <w:rPr>
                <w:color w:val="000000" w:themeColor="text1"/>
              </w:rPr>
            </w:pPr>
            <w:r w:rsidRPr="00C9564D">
              <w:rPr>
                <w:i/>
                <w:iCs/>
                <w:color w:val="000000" w:themeColor="text1"/>
              </w:rPr>
              <w:t xml:space="preserve">Artocarpus heterophyllus, Prosopis juliflora, Salix x rubens, Casuarina equisetifolia, Acacia </w:t>
            </w:r>
            <w:r w:rsidRPr="00C9564D">
              <w:rPr>
                <w:color w:val="000000" w:themeColor="text1"/>
              </w:rPr>
              <w:t>sp</w:t>
            </w:r>
            <w:r w:rsidR="00E0770A" w:rsidRPr="00C9564D">
              <w:rPr>
                <w:color w:val="000000" w:themeColor="text1"/>
              </w:rPr>
              <w:t>.</w:t>
            </w:r>
            <w:r w:rsidR="00B50045" w:rsidRPr="00C9564D">
              <w:rPr>
                <w:color w:val="000000" w:themeColor="text1"/>
              </w:rPr>
              <w:t xml:space="preserve"> </w:t>
            </w:r>
            <w:r w:rsidRPr="00C9564D">
              <w:rPr>
                <w:color w:val="000000" w:themeColor="text1"/>
              </w:rPr>
              <w:t>p</w:t>
            </w:r>
            <w:r w:rsidR="00B50045" w:rsidRPr="00C9564D">
              <w:rPr>
                <w:color w:val="000000" w:themeColor="text1"/>
              </w:rPr>
              <w:t>l.</w:t>
            </w:r>
          </w:p>
        </w:tc>
        <w:tc>
          <w:tcPr>
            <w:tcW w:w="7327" w:type="dxa"/>
          </w:tcPr>
          <w:p w14:paraId="1D15D130" w14:textId="1BEEB2D6" w:rsidR="005563D5" w:rsidRPr="00C9564D" w:rsidRDefault="005563D5" w:rsidP="005563D5">
            <w:pPr>
              <w:spacing w:before="120" w:after="120"/>
              <w:jc w:val="both"/>
              <w:rPr>
                <w:color w:val="000000" w:themeColor="text1"/>
              </w:rPr>
            </w:pPr>
            <w:r w:rsidRPr="00C9564D">
              <w:rPr>
                <w:color w:val="000000" w:themeColor="text1"/>
              </w:rPr>
              <w:t>Agroforestry is practiced in both tropical and temperate regions, for both wood and non-wood products, including food and fibre for improved food and nutritional security</w:t>
            </w:r>
            <w:r w:rsidR="00494CC8" w:rsidRPr="00C9564D">
              <w:rPr>
                <w:color w:val="000000" w:themeColor="text1"/>
              </w:rPr>
              <w:t xml:space="preserve"> </w:t>
            </w:r>
            <w:r w:rsidR="00494CC8" w:rsidRPr="00C9564D">
              <w:rPr>
                <w:color w:val="000000" w:themeColor="text1"/>
              </w:rPr>
              <w:fldChar w:fldCharType="begin"/>
            </w:r>
            <w:r w:rsidR="00FA3F0F" w:rsidRPr="00C9564D">
              <w:rPr>
                <w:color w:val="000000" w:themeColor="text1"/>
              </w:rPr>
              <w:instrText xml:space="preserve"> ADDIN ZOTERO_ITEM CSL_CITATION {"citationID":"vkFZ8cUr","properties":{"formattedCitation":"(Richardson 2011; Rosenstock et al. 2019; Tschora and Cherubini 2020)","plainCitation":"(Richardson 2011; Rosenstock et al. 2019; Tschora and Cherubini 2020)","noteIndex":0},"citationItems":[{"id":333,"uris":["http://zotero.org/users/6602900/items/EVH8FJEQ"],"uri":["http://zotero.org/users/6602900/items/EVH8FJEQ"],"itemData":{"id":333,"type":"chapter","container-title":"Encyclopedia of Biological Invasions","edition":"In: Simberloff D, Rejmánek M (eds)","event-place":"Berkeley and Los Angeles","page":"241-248","publisher":"University of California Press","publisher-place":"Berkeley and Los Angeles","title":"Forestry and Agroforestry","author":[{"family":"Richardson","given":"David M."}],"issued":{"date-parts":[["2011"]]}}},{"id":677,"uris":["http://zotero.org/users/6602900/items/ZQVZF76A"],"uri":["http://zotero.org/users/6602900/items/ZQVZF76A"],"itemData":{"id":677,"type":"article-journal","abstract":"Human activities change the structure and function of the environment with cascading impacts on human health, a concept known as “planetary health.” Agroforestry—the management of trees with crops and livestock—alters microclimates, hydrology, biogeochemistry, and biodiversity. Besides the nutritional benefits of increased fruit consumption, however, the ways agroforestry affects human health are rarely articulated. This review makes that link. We analyze the pathways through which tree-based farm and landscape change affect food and nutrition security, the spread of infectious disease, the prevalence of non-communicable diseases, and human migration in Sub-Saharan Africa. The available evidence suggests that, despite some increased risks of infectious disease, agroforestry is likely to improve a diverse range of pressing health concerns. We therefore examine the factors determining agroforestry use and identify three drivers of social and environmental change that will determine the future uptake of agroforestry in the region.","container-title":"One Earth","DOI":"10.1016/j.oneear.2019.10.017","ISSN":"2590-3322","issue":"3","journalAbbreviation":"One Earth","page":"330-344","title":"A Planetary Health Perspective on Agroforestry in Sub-Saharan Africa","volume":"1","author":[{"family":"Rosenstock","given":"Todd S."},{"family":"Dawson","given":"Ian K."},{"family":"Aynekulu","given":"Ermias"},{"family":"Chomba","given":"Susan"},{"family":"Degrande","given":"Ann"},{"family":"Fornace","given":"Kimberly"},{"family":"Jamnadass","given":"Ramni"},{"family":"Kimaro","given":"Anthony"},{"family":"Kindt","given":"Roeland"},{"family":"Lamanna","given":"Christine"},{"family":"Malesu","given":"Maimbo"},{"family":"Mausch","given":"Kai"},{"family":"McMullin","given":"Stepha"},{"family":"Murage","given":"Peninah"},{"family":"Namoi","given":"Nictor"},{"family":"Njenga","given":"Mary"},{"family":"Nyoka","given":"Isaac"},{"family":"Paez Valencia","given":"Ana Maria"},{"family":"Sola","given":"Phosiso"},{"family":"Shepherd","given":"Keith"},{"family":"Steward","given":"Peter"}],"issued":{"date-parts":[["2019",11,22]]}}},{"id":676,"uris":["http://zotero.org/users/6602900/items/6KFBMTC2"],"uri":["http://zotero.org/users/6602900/items/6KFBMTC2"],"itemData":{"id":676,"type":"article-journal","abstract":"Agroforestry is a land management practice where trees are grown around or among crops or pastureland. This integration of agriculture and forestry is frequently seen as an option that can secure food security and co-deliver a range of environmental benefits. However, quantitative studies simultaneously integrating multiple aspects of agroforestry are rare. Focusing on four sustainability goals, namely adaptation to climate change, biodiversity conservation, climate change mitigation and rural development, this study investigated co-benefits and adverse side-effects of shaded agroforests above cocoa, coffee, oil palm, banana and citrus plantations in tropical humid West Africa. Time series of remote sensing land cover datasets were used to quantify and map recent land cover transitions in the region, and a field study in 25 agroforestry plots in Togo provided biomass carbon measurements in over 3000 trees, in addition to local farmers interviews. Estimates of theoretical agroforestry expansion and associated carbon sequestration potential in the region were compared to regional emissions from fossil fuels and deforestation. We found that about 1.6 Mha of losses in evergreen forests occurred between 1992 and 2015 (corresponding to 17% of the forest area originally present in 1992), while agricultural areas increased by 2.4 Mha (+5% relative to 1992). On average, trees in the studied agroforestry plots store 83.7 ± 7.0 t C/ha. We found synergies between rural development and adaptation benefits, no clear relationship between biodiversity and carbon storage, and a trade-off between high carbon stocks and crop yields. This trade-off can be minimized with an optimal management of agroforestry by using a mix of tree species that store medium carbon stocks and can enhance yields, soil fertility and climate resilience. In general, plant functional diversity, i.e. a balanced mix of shade trees, fruit trees, palms and bananas, emerged as a key feature of successful agroforestry systems. Besides, agroforestry trees co-products are reported as an additional, diversified source of income for local farmers. A large-scale deployment of agroforestry over seven countries in West Africa can sequester up to 135 Mt CO2/year over two decades, corresponding to about 166% of the carbon emissions from fossil fuels and deforestation in the region. Overall, agroforestry practices in tropical humid West Africa offer multiple-win solutions that are relevant to address major local and global environmental challenges. Increasing cooperation among local farmer communities, national authorities, and international organizations are instrumental to overcome the barriers for a future expansion of agroforestry systems in the region.","container-title":"Global Ecology and Conservation","DOI":"10.1016/j.gecco.2020.e00919","ISSN":"2351-9894","journalAbbreviation":"Global Ecology and Conservation","page":"e00919","title":"Co-benefits and trade-offs of agroforestry for climate change mitigation and other sustainability goals in West Africa","volume":"22","author":[{"family":"Tschora","given":"Héloïse"},{"family":"Cherubini","given":"Francesco"}],"issued":{"date-parts":[["2020",6,1]]}}}],"schema":"https://github.com/citation-style-language/schema/raw/master/csl-citation.json"} </w:instrText>
            </w:r>
            <w:r w:rsidR="00494CC8" w:rsidRPr="00C9564D">
              <w:rPr>
                <w:color w:val="000000" w:themeColor="text1"/>
              </w:rPr>
              <w:fldChar w:fldCharType="separate"/>
            </w:r>
            <w:r w:rsidR="00026EED" w:rsidRPr="00026EED">
              <w:t>(Richardson 2011; Rosenstock et al. 2019; Tschora and Cherubini 2020)</w:t>
            </w:r>
            <w:r w:rsidR="00494CC8" w:rsidRPr="00C9564D">
              <w:rPr>
                <w:color w:val="000000" w:themeColor="text1"/>
              </w:rPr>
              <w:fldChar w:fldCharType="end"/>
            </w:r>
            <w:r w:rsidRPr="00C9564D">
              <w:rPr>
                <w:color w:val="000000" w:themeColor="text1"/>
              </w:rPr>
              <w:t xml:space="preserve"> . The potential of agroforestry to contribute to sustainable development has been recognized in international policies, including the United Nations Framework Convention on Climate Change (UNFCCC) and the Convention on Biological Diversity (CBD), justifying increased investment in its development (</w:t>
            </w:r>
            <w:r w:rsidR="00494CC8" w:rsidRPr="00C9564D">
              <w:rPr>
                <w:color w:val="000000" w:themeColor="text1"/>
              </w:rPr>
              <w:t>http://www.fao.org/forestry/agroforestry/en/</w:t>
            </w:r>
            <w:r w:rsidRPr="00C9564D">
              <w:rPr>
                <w:color w:val="000000" w:themeColor="text1"/>
              </w:rPr>
              <w:t xml:space="preserve">). Problems arise when </w:t>
            </w:r>
            <w:r w:rsidR="00494CC8" w:rsidRPr="00C9564D">
              <w:rPr>
                <w:color w:val="000000" w:themeColor="text1"/>
              </w:rPr>
              <w:t>NNTs</w:t>
            </w:r>
            <w:r w:rsidRPr="00C9564D">
              <w:rPr>
                <w:color w:val="000000" w:themeColor="text1"/>
              </w:rPr>
              <w:t xml:space="preserve"> spread from sites of introduction and cultivation to invade areas where their presence is, for various reasons, deemed inappropriate.</w:t>
            </w:r>
          </w:p>
        </w:tc>
      </w:tr>
      <w:tr w:rsidR="005563D5" w:rsidRPr="00C9564D" w14:paraId="708187B5" w14:textId="77777777" w:rsidTr="00830EE5">
        <w:tc>
          <w:tcPr>
            <w:tcW w:w="3129" w:type="dxa"/>
          </w:tcPr>
          <w:p w14:paraId="463409BB" w14:textId="77777777" w:rsidR="005563D5" w:rsidRPr="00C9564D" w:rsidRDefault="005563D5" w:rsidP="005563D5">
            <w:pPr>
              <w:spacing w:before="120" w:after="120"/>
              <w:jc w:val="both"/>
              <w:rPr>
                <w:color w:val="000000" w:themeColor="text1"/>
              </w:rPr>
            </w:pPr>
            <w:r w:rsidRPr="00C9564D">
              <w:rPr>
                <w:color w:val="000000" w:themeColor="text1"/>
              </w:rPr>
              <w:t>Mediterranean planted forests and sand dune stabilisation</w:t>
            </w:r>
          </w:p>
        </w:tc>
        <w:tc>
          <w:tcPr>
            <w:tcW w:w="3129" w:type="dxa"/>
          </w:tcPr>
          <w:p w14:paraId="55662692" w14:textId="28714D4C" w:rsidR="005563D5" w:rsidRPr="003B2822" w:rsidRDefault="005563D5" w:rsidP="00F70ADA">
            <w:pPr>
              <w:spacing w:before="120" w:after="120"/>
              <w:rPr>
                <w:color w:val="000000" w:themeColor="text1"/>
                <w:lang w:val="it-IT"/>
              </w:rPr>
            </w:pPr>
            <w:r w:rsidRPr="00C9564D">
              <w:rPr>
                <w:i/>
                <w:color w:val="000000" w:themeColor="text1"/>
              </w:rPr>
              <w:t>Pinus</w:t>
            </w:r>
            <w:r w:rsidRPr="00C9564D">
              <w:rPr>
                <w:color w:val="000000" w:themeColor="text1"/>
              </w:rPr>
              <w:t xml:space="preserve"> sp</w:t>
            </w:r>
            <w:r w:rsidR="001E1309" w:rsidRPr="00C9564D">
              <w:rPr>
                <w:color w:val="000000" w:themeColor="text1"/>
              </w:rPr>
              <w:t xml:space="preserve">. </w:t>
            </w:r>
            <w:r w:rsidRPr="00C9564D">
              <w:rPr>
                <w:color w:val="000000" w:themeColor="text1"/>
              </w:rPr>
              <w:t>p</w:t>
            </w:r>
            <w:r w:rsidR="001E1309" w:rsidRPr="00C9564D">
              <w:rPr>
                <w:color w:val="000000" w:themeColor="text1"/>
              </w:rPr>
              <w:t>l</w:t>
            </w:r>
            <w:r w:rsidRPr="00C9564D">
              <w:rPr>
                <w:color w:val="000000" w:themeColor="text1"/>
              </w:rPr>
              <w:t xml:space="preserve">., </w:t>
            </w:r>
            <w:r w:rsidRPr="00C9564D">
              <w:rPr>
                <w:i/>
                <w:color w:val="000000" w:themeColor="text1"/>
              </w:rPr>
              <w:t>Acacia</w:t>
            </w:r>
            <w:r w:rsidRPr="00C9564D">
              <w:rPr>
                <w:color w:val="000000" w:themeColor="text1"/>
              </w:rPr>
              <w:t xml:space="preserve"> sp</w:t>
            </w:r>
            <w:r w:rsidR="001E1309" w:rsidRPr="00C9564D">
              <w:rPr>
                <w:color w:val="000000" w:themeColor="text1"/>
              </w:rPr>
              <w:t xml:space="preserve">. </w:t>
            </w:r>
            <w:r w:rsidRPr="00C9564D">
              <w:rPr>
                <w:color w:val="000000" w:themeColor="text1"/>
              </w:rPr>
              <w:t>p</w:t>
            </w:r>
            <w:r w:rsidR="001E1309" w:rsidRPr="00C9564D">
              <w:rPr>
                <w:color w:val="000000" w:themeColor="text1"/>
              </w:rPr>
              <w:t>l</w:t>
            </w:r>
            <w:r w:rsidRPr="00C9564D">
              <w:rPr>
                <w:color w:val="000000" w:themeColor="text1"/>
              </w:rPr>
              <w:t xml:space="preserve">. </w:t>
            </w:r>
            <w:r w:rsidRPr="003B2822">
              <w:rPr>
                <w:i/>
                <w:color w:val="000000" w:themeColor="text1"/>
                <w:lang w:val="it-IT"/>
              </w:rPr>
              <w:t>Eucalyptus</w:t>
            </w:r>
            <w:r w:rsidRPr="003B2822">
              <w:rPr>
                <w:color w:val="000000" w:themeColor="text1"/>
                <w:lang w:val="it-IT"/>
              </w:rPr>
              <w:t xml:space="preserve"> sp</w:t>
            </w:r>
            <w:r w:rsidR="001E1309" w:rsidRPr="003B2822">
              <w:rPr>
                <w:color w:val="000000" w:themeColor="text1"/>
                <w:lang w:val="it-IT"/>
              </w:rPr>
              <w:t xml:space="preserve">. </w:t>
            </w:r>
            <w:r w:rsidRPr="003B2822">
              <w:rPr>
                <w:color w:val="000000" w:themeColor="text1"/>
                <w:lang w:val="it-IT"/>
              </w:rPr>
              <w:t>p</w:t>
            </w:r>
            <w:r w:rsidR="001E1309" w:rsidRPr="003B2822">
              <w:rPr>
                <w:color w:val="000000" w:themeColor="text1"/>
                <w:lang w:val="it-IT"/>
              </w:rPr>
              <w:t>l</w:t>
            </w:r>
            <w:r w:rsidRPr="003B2822">
              <w:rPr>
                <w:color w:val="000000" w:themeColor="text1"/>
                <w:lang w:val="it-IT"/>
              </w:rPr>
              <w:t>.</w:t>
            </w:r>
            <w:r w:rsidR="001E1309" w:rsidRPr="003B2822">
              <w:rPr>
                <w:color w:val="000000" w:themeColor="text1"/>
                <w:lang w:val="it-IT"/>
              </w:rPr>
              <w:t>,</w:t>
            </w:r>
            <w:r w:rsidRPr="003B2822">
              <w:rPr>
                <w:color w:val="000000" w:themeColor="text1"/>
                <w:lang w:val="it-IT"/>
              </w:rPr>
              <w:t xml:space="preserve"> </w:t>
            </w:r>
            <w:r w:rsidRPr="003B2822">
              <w:rPr>
                <w:i/>
                <w:color w:val="000000" w:themeColor="text1"/>
                <w:lang w:val="it-IT"/>
              </w:rPr>
              <w:t>Robinia pseudoacacia, Casuarina equisetifolia</w:t>
            </w:r>
          </w:p>
        </w:tc>
        <w:tc>
          <w:tcPr>
            <w:tcW w:w="7327" w:type="dxa"/>
          </w:tcPr>
          <w:p w14:paraId="4AE28E7F" w14:textId="65B46060" w:rsidR="005563D5" w:rsidRPr="00C9564D" w:rsidRDefault="001E1309" w:rsidP="005563D5">
            <w:pPr>
              <w:spacing w:before="120" w:after="120"/>
              <w:jc w:val="both"/>
              <w:rPr>
                <w:color w:val="000000" w:themeColor="text1"/>
              </w:rPr>
            </w:pPr>
            <w:r w:rsidRPr="00C9564D">
              <w:rPr>
                <w:color w:val="000000" w:themeColor="text1"/>
              </w:rPr>
              <w:t xml:space="preserve">NNTs in the Mediterranean basis region </w:t>
            </w:r>
            <w:r w:rsidR="005563D5" w:rsidRPr="00C9564D">
              <w:rPr>
                <w:color w:val="000000" w:themeColor="text1"/>
              </w:rPr>
              <w:t xml:space="preserve">were once limited to land at risk from erosion, but these now cover large areas of pastoral land and even agricultural land, </w:t>
            </w:r>
            <w:r w:rsidRPr="00C9564D">
              <w:rPr>
                <w:color w:val="000000" w:themeColor="text1"/>
              </w:rPr>
              <w:t xml:space="preserve">also </w:t>
            </w:r>
            <w:r w:rsidR="005563D5" w:rsidRPr="00C9564D">
              <w:rPr>
                <w:color w:val="000000" w:themeColor="text1"/>
              </w:rPr>
              <w:t>as a result of the naturalisation and establishment of the introduced species. Restoration is challenging.</w:t>
            </w:r>
          </w:p>
        </w:tc>
      </w:tr>
      <w:tr w:rsidR="005563D5" w:rsidRPr="00C9564D" w14:paraId="6D7D8349" w14:textId="77777777" w:rsidTr="00830EE5">
        <w:tc>
          <w:tcPr>
            <w:tcW w:w="3129" w:type="dxa"/>
          </w:tcPr>
          <w:p w14:paraId="6CD25499" w14:textId="77777777" w:rsidR="005563D5" w:rsidRPr="00C9564D" w:rsidRDefault="005563D5" w:rsidP="005563D5">
            <w:pPr>
              <w:spacing w:before="120" w:after="120"/>
              <w:jc w:val="both"/>
              <w:rPr>
                <w:color w:val="000000" w:themeColor="text1"/>
              </w:rPr>
            </w:pPr>
            <w:r w:rsidRPr="00C9564D">
              <w:rPr>
                <w:color w:val="000000" w:themeColor="text1"/>
              </w:rPr>
              <w:t>Preventing and combating desertification in arid zones</w:t>
            </w:r>
          </w:p>
          <w:p w14:paraId="63953224" w14:textId="77777777" w:rsidR="00830EE5" w:rsidRPr="00C9564D" w:rsidRDefault="00830EE5" w:rsidP="005563D5">
            <w:pPr>
              <w:spacing w:before="120" w:after="120"/>
              <w:jc w:val="both"/>
              <w:rPr>
                <w:color w:val="2F5496" w:themeColor="accent1" w:themeShade="BF"/>
              </w:rPr>
            </w:pPr>
            <w:r w:rsidRPr="00C9564D">
              <w:rPr>
                <w:color w:val="2F5496" w:themeColor="accent1" w:themeShade="BF"/>
              </w:rPr>
              <w:t>[ESCAPE from confinement, Forestry (including afforestation or reforestation)]</w:t>
            </w:r>
          </w:p>
          <w:p w14:paraId="6DB179B3" w14:textId="77777777" w:rsidR="00830EE5" w:rsidRPr="00C9564D" w:rsidRDefault="00830EE5" w:rsidP="00830EE5">
            <w:pPr>
              <w:spacing w:before="120" w:after="120"/>
              <w:jc w:val="both"/>
              <w:rPr>
                <w:color w:val="000000" w:themeColor="text1"/>
              </w:rPr>
            </w:pPr>
            <w:r w:rsidRPr="00C9564D">
              <w:rPr>
                <w:color w:val="2F5496" w:themeColor="accent1" w:themeShade="BF"/>
              </w:rPr>
              <w:lastRenderedPageBreak/>
              <w:t>[RELEASE in nature, Landscape/flora/fauna “improvement” in the wild]</w:t>
            </w:r>
          </w:p>
          <w:p w14:paraId="34402856" w14:textId="6EF2618C" w:rsidR="00830EE5" w:rsidRPr="00C9564D" w:rsidRDefault="00830EE5" w:rsidP="005563D5">
            <w:pPr>
              <w:spacing w:before="120" w:after="120"/>
              <w:jc w:val="both"/>
              <w:rPr>
                <w:color w:val="000000" w:themeColor="text1"/>
              </w:rPr>
            </w:pPr>
          </w:p>
        </w:tc>
        <w:tc>
          <w:tcPr>
            <w:tcW w:w="3129" w:type="dxa"/>
          </w:tcPr>
          <w:p w14:paraId="1C582F34" w14:textId="74A87C9B" w:rsidR="005563D5" w:rsidRPr="00C9564D" w:rsidRDefault="00B50045" w:rsidP="005563D5">
            <w:pPr>
              <w:spacing w:before="120" w:after="120"/>
              <w:jc w:val="both"/>
              <w:rPr>
                <w:color w:val="000000" w:themeColor="text1"/>
              </w:rPr>
            </w:pPr>
            <w:r w:rsidRPr="00C9564D">
              <w:rPr>
                <w:color w:val="000000" w:themeColor="text1"/>
              </w:rPr>
              <w:lastRenderedPageBreak/>
              <w:t>(many)</w:t>
            </w:r>
          </w:p>
        </w:tc>
        <w:tc>
          <w:tcPr>
            <w:tcW w:w="7327" w:type="dxa"/>
          </w:tcPr>
          <w:p w14:paraId="7E17AE0F" w14:textId="62025EDB" w:rsidR="005563D5" w:rsidRPr="00C9564D" w:rsidRDefault="005563D5" w:rsidP="00CD78F7">
            <w:pPr>
              <w:spacing w:before="120" w:after="120"/>
              <w:jc w:val="both"/>
              <w:rPr>
                <w:color w:val="000000" w:themeColor="text1"/>
              </w:rPr>
            </w:pPr>
            <w:r w:rsidRPr="00C9564D">
              <w:rPr>
                <w:color w:val="000000" w:themeColor="text1"/>
              </w:rPr>
              <w:t>Desertification affects millions of the most vulnerable people in Africa, where two thirds of the land cover consists of drylands and deserts</w:t>
            </w:r>
            <w:r w:rsidR="00FF74DE" w:rsidRPr="00C9564D">
              <w:rPr>
                <w:color w:val="000000" w:themeColor="text1"/>
              </w:rPr>
              <w:t xml:space="preserve"> </w:t>
            </w:r>
            <w:r w:rsidR="00830EE5" w:rsidRPr="00C9564D">
              <w:rPr>
                <w:color w:val="000000" w:themeColor="text1"/>
              </w:rPr>
              <w:t>many NNTs</w:t>
            </w:r>
            <w:r w:rsidR="00FF74DE" w:rsidRPr="00C9564D">
              <w:rPr>
                <w:color w:val="000000" w:themeColor="text1"/>
              </w:rPr>
              <w:t xml:space="preserve"> species have been deliberately introduced into many arid and semi-arid regions across the world </w:t>
            </w:r>
            <w:r w:rsidR="00830EE5" w:rsidRPr="00C9564D">
              <w:rPr>
                <w:color w:val="000000" w:themeColor="text1"/>
              </w:rPr>
              <w:t>aiming to</w:t>
            </w:r>
            <w:r w:rsidR="00FF74DE" w:rsidRPr="00C9564D">
              <w:rPr>
                <w:color w:val="000000" w:themeColor="text1"/>
              </w:rPr>
              <w:t xml:space="preserve"> combat desertification and provide resources - like fuelwood - to the rural </w:t>
            </w:r>
            <w:r w:rsidR="00830EE5" w:rsidRPr="00C9564D">
              <w:rPr>
                <w:color w:val="000000" w:themeColor="text1"/>
              </w:rPr>
              <w:t>communities</w:t>
            </w:r>
            <w:r w:rsidR="00FF74DE" w:rsidRPr="00C9564D">
              <w:rPr>
                <w:color w:val="000000" w:themeColor="text1"/>
              </w:rPr>
              <w:t xml:space="preserve">. </w:t>
            </w:r>
            <w:r w:rsidR="00830EE5" w:rsidRPr="00C9564D">
              <w:rPr>
                <w:color w:val="000000" w:themeColor="text1"/>
              </w:rPr>
              <w:t>A number of these NNTs</w:t>
            </w:r>
            <w:r w:rsidR="00FF74DE" w:rsidRPr="00C9564D">
              <w:rPr>
                <w:color w:val="000000" w:themeColor="text1"/>
              </w:rPr>
              <w:t xml:space="preserve"> have become invasive, </w:t>
            </w:r>
            <w:r w:rsidR="00830EE5" w:rsidRPr="00C9564D">
              <w:rPr>
                <w:color w:val="000000" w:themeColor="text1"/>
              </w:rPr>
              <w:t>with negative impacts</w:t>
            </w:r>
            <w:r w:rsidR="00FF74DE" w:rsidRPr="00C9564D">
              <w:rPr>
                <w:color w:val="000000" w:themeColor="text1"/>
              </w:rPr>
              <w:t xml:space="preserve"> on other species as well as people.</w:t>
            </w:r>
            <w:r w:rsidRPr="00C9564D">
              <w:rPr>
                <w:color w:val="000000" w:themeColor="text1"/>
              </w:rPr>
              <w:t xml:space="preserve"> </w:t>
            </w:r>
            <w:r w:rsidR="00E12325" w:rsidRPr="00C9564D">
              <w:rPr>
                <w:color w:val="000000" w:themeColor="text1"/>
              </w:rPr>
              <w:t xml:space="preserve">To this aim, e.g. </w:t>
            </w:r>
            <w:r w:rsidR="00E12325" w:rsidRPr="00C9564D">
              <w:rPr>
                <w:i/>
                <w:iCs/>
                <w:color w:val="000000" w:themeColor="text1"/>
              </w:rPr>
              <w:t>Acacia saligna</w:t>
            </w:r>
            <w:r w:rsidR="00E12325" w:rsidRPr="00C9564D">
              <w:rPr>
                <w:color w:val="000000" w:themeColor="text1"/>
              </w:rPr>
              <w:t xml:space="preserve"> has been planted in North </w:t>
            </w:r>
            <w:r w:rsidR="00E12325" w:rsidRPr="00C9564D">
              <w:rPr>
                <w:color w:val="000000" w:themeColor="text1"/>
              </w:rPr>
              <w:lastRenderedPageBreak/>
              <w:t xml:space="preserve">Africa for dune stabilization, wood production and livestock forage </w:t>
            </w:r>
            <w:r w:rsidR="00E12325" w:rsidRPr="00C9564D">
              <w:rPr>
                <w:color w:val="000000" w:themeColor="text1"/>
              </w:rPr>
              <w:fldChar w:fldCharType="begin"/>
            </w:r>
            <w:r w:rsidR="00E12325" w:rsidRPr="00C9564D">
              <w:rPr>
                <w:color w:val="000000" w:themeColor="text1"/>
              </w:rPr>
              <w:instrText xml:space="preserve"> ADDIN ZOTERO_ITEM CSL_CITATION {"citationID":"9Y8uxZIa","properties":{"formattedCitation":"(Tiedeman and Johnson 1992)","plainCitation":"(Tiedeman and Johnson 1992)","noteIndex":0},"citationItems":[{"id":700,"uris":["http://zotero.org/users/6602900/items/X8ZZC39X"],"uri":["http://zotero.org/users/6602900/items/X8ZZC39X"],"itemData":{"id":700,"type":"article-journal","abstract":"Forage and wood yield of Acacia cyanophylla, also known as Acacia saligna, was studied in a 300–400 mm precipitation zone in Tunisia. Yields were measured during and after drought. This short (2–8 m) evergreen leguminous tree is used as a forage drought reserve in frost free regions where mean annual precipitation exceeds 250 mm. The standing crop of leafy forage builds up year after year for at least four years or until the tree is cut. It rapidly regrows after cutting from coppice shoots. The leaves provide high protein forage for sheep and goats during the long dry summer season typical of the Mediterranean climate as well as emergency forage during drought. The tree is used to stabilize moving sand dunes, and as a windbreak to protect cropland. It also provides fuelwood and increasaes soil nitrogen by fixation. The need for supplemental irrigation during establishment is a major constraint.","container-title":"Agroforestry Systems","DOI":"10.1007/BF00053121","ISSN":"1572-9680","issue":"2","journalAbbreviation":"Agroforestry Systems","page":"169-180","title":"Acacia cyanophylla for forage and fuelwood in North Africa","volume":"17","author":[{"family":"Tiedeman","given":"J. A."},{"family":"Johnson","given":"D. E."}],"issued":{"date-parts":[["1992",2,1]]}}}],"schema":"https://github.com/citation-style-language/schema/raw/master/csl-citation.json"} </w:instrText>
            </w:r>
            <w:r w:rsidR="00E12325" w:rsidRPr="00C9564D">
              <w:rPr>
                <w:color w:val="000000" w:themeColor="text1"/>
              </w:rPr>
              <w:fldChar w:fldCharType="separate"/>
            </w:r>
            <w:r w:rsidR="00026EED" w:rsidRPr="00026EED">
              <w:t>(Tiedeman and Johnson 1992)</w:t>
            </w:r>
            <w:r w:rsidR="00E12325" w:rsidRPr="00C9564D">
              <w:rPr>
                <w:color w:val="000000" w:themeColor="text1"/>
              </w:rPr>
              <w:fldChar w:fldCharType="end"/>
            </w:r>
            <w:r w:rsidR="00E12325" w:rsidRPr="00C9564D">
              <w:rPr>
                <w:color w:val="000000" w:themeColor="text1"/>
              </w:rPr>
              <w:t xml:space="preserve">. </w:t>
            </w:r>
            <w:r w:rsidR="00CD78F7" w:rsidRPr="00C9564D">
              <w:rPr>
                <w:color w:val="000000" w:themeColor="text1"/>
              </w:rPr>
              <w:t xml:space="preserve">Tremendous efforts have been made since the 1960s to arrest desertification and for ecological restoration of the Thar desert in India. In this effort about 115 </w:t>
            </w:r>
            <w:r w:rsidR="00CD78F7" w:rsidRPr="00C9564D">
              <w:rPr>
                <w:i/>
                <w:iCs/>
                <w:color w:val="000000" w:themeColor="text1"/>
              </w:rPr>
              <w:t>Eucalyptus</w:t>
            </w:r>
            <w:r w:rsidR="00CD78F7" w:rsidRPr="00C9564D">
              <w:rPr>
                <w:color w:val="000000" w:themeColor="text1"/>
              </w:rPr>
              <w:t xml:space="preserve"> species, 73 </w:t>
            </w:r>
            <w:r w:rsidR="00CD78F7" w:rsidRPr="00C9564D">
              <w:rPr>
                <w:i/>
                <w:iCs/>
                <w:color w:val="000000" w:themeColor="text1"/>
              </w:rPr>
              <w:t>Acacia</w:t>
            </w:r>
            <w:r w:rsidR="00CD78F7" w:rsidRPr="00C9564D">
              <w:rPr>
                <w:color w:val="000000" w:themeColor="text1"/>
              </w:rPr>
              <w:t xml:space="preserve"> species and 170 other NNTs from various countries including Mexico, </w:t>
            </w:r>
            <w:r w:rsidR="00CD78F7" w:rsidRPr="00E205FC">
              <w:rPr>
                <w:color w:val="000000" w:themeColor="text1"/>
              </w:rPr>
              <w:t xml:space="preserve">U.S.A., Latin America, former USSR, Africa, Israel, Arizona, Peru, Kenya, Australia, Chile, Sudan, Zimbabwe </w:t>
            </w:r>
            <w:r w:rsidR="00CD78F7" w:rsidRPr="00C9564D">
              <w:rPr>
                <w:color w:val="000000" w:themeColor="text1"/>
              </w:rPr>
              <w:t xml:space="preserve">and the Middle East were introduced </w:t>
            </w:r>
            <w:r w:rsidR="00CD78F7" w:rsidRPr="00C9564D">
              <w:rPr>
                <w:color w:val="000000" w:themeColor="text1"/>
              </w:rPr>
              <w:fldChar w:fldCharType="begin"/>
            </w:r>
            <w:r w:rsidR="00CD78F7" w:rsidRPr="00C9564D">
              <w:rPr>
                <w:color w:val="000000" w:themeColor="text1"/>
              </w:rPr>
              <w:instrText xml:space="preserve"> ADDIN ZOTERO_ITEM CSL_CITATION {"citationID":"v4DCGqkq","properties":{"formattedCitation":"(Chauhan 2003)","plainCitation":"(Chauhan 2003)","noteIndex":0},"citationItems":[{"id":701,"uris":["http://zotero.org/users/6602900/items/KPW2CLIJ"],"uri":["http://zotero.org/users/6602900/items/KPW2CLIJ"],"itemData":{"id":701,"type":"article-journal","abstract":"India has 2.34 million km2 of hot desert called Thar located in the north-western part of Rajasthan between latitudes 23°3′ and 30°12′ North and longitudes 63°30′ and 70°18′ East. The Indian desert is spreading annually over 12000 ha of productive land degrading it and slowly advancing towards the national capital New Delhi at the rate of 0.5 km per year. The Indian desert is characterised by huge shifting sand dunes; high wind speed; scarce rainfall; and intense solar radiation. Tremendous efforts have been made since the 1960s to arrest desertification and for ecological restoration of the Thar desert. An Ambitious afforestation programme including ‘stabilisation of shifting sand dunes’ and creation of ‘micro-climates’ through ‘tree-screens’ and ‘shelter-belt’ plantation was launched by the forest department of Rajasthan. A huge canal, 649 km long was also introduced to the Thar desert for ecological restoration.","container-title":"Environmentalist","DOI":"10.1023/B:ENVR.0000017366.67642.79","ISSN":"1573-2991","issue":"3","journalAbbreviation":"Environmentalist","page":"219-227","title":"Desertification Control and Management of Land Degradation in the Thar Desert of India","volume":"23","author":[{"family":"Chauhan","given":"Surendra Singh"}],"issued":{"date-parts":[["2003",9,1]]}}}],"schema":"https://github.com/citation-style-language/schema/raw/master/csl-citation.json"} </w:instrText>
            </w:r>
            <w:r w:rsidR="00CD78F7" w:rsidRPr="00C9564D">
              <w:rPr>
                <w:color w:val="000000" w:themeColor="text1"/>
              </w:rPr>
              <w:fldChar w:fldCharType="separate"/>
            </w:r>
            <w:r w:rsidR="00026EED" w:rsidRPr="00026EED">
              <w:t>(Chauhan 2003)</w:t>
            </w:r>
            <w:r w:rsidR="00CD78F7" w:rsidRPr="00C9564D">
              <w:rPr>
                <w:color w:val="000000" w:themeColor="text1"/>
              </w:rPr>
              <w:fldChar w:fldCharType="end"/>
            </w:r>
            <w:r w:rsidR="00CD78F7" w:rsidRPr="00C9564D">
              <w:rPr>
                <w:color w:val="000000" w:themeColor="text1"/>
              </w:rPr>
              <w:t>.</w:t>
            </w:r>
          </w:p>
        </w:tc>
      </w:tr>
      <w:tr w:rsidR="005563D5" w:rsidRPr="00C9564D" w14:paraId="56637B4A" w14:textId="77777777" w:rsidTr="00830EE5">
        <w:tc>
          <w:tcPr>
            <w:tcW w:w="3129" w:type="dxa"/>
          </w:tcPr>
          <w:p w14:paraId="76FA1C8E" w14:textId="6136A222" w:rsidR="005563D5" w:rsidRPr="00C9564D" w:rsidRDefault="005563D5" w:rsidP="005563D5">
            <w:pPr>
              <w:spacing w:before="120" w:after="120"/>
              <w:jc w:val="both"/>
              <w:rPr>
                <w:color w:val="000000" w:themeColor="text1"/>
              </w:rPr>
            </w:pPr>
            <w:r w:rsidRPr="00C9564D">
              <w:rPr>
                <w:color w:val="000000" w:themeColor="text1"/>
              </w:rPr>
              <w:lastRenderedPageBreak/>
              <w:t>Multi-purpose</w:t>
            </w:r>
            <w:r w:rsidR="00C95EA7" w:rsidRPr="00C9564D">
              <w:rPr>
                <w:color w:val="000000" w:themeColor="text1"/>
              </w:rPr>
              <w:t xml:space="preserve"> NNTs, cultural</w:t>
            </w:r>
            <w:r w:rsidR="000D5AA9" w:rsidRPr="00C9564D">
              <w:rPr>
                <w:color w:val="000000" w:themeColor="text1"/>
              </w:rPr>
              <w:t>, religious</w:t>
            </w:r>
            <w:r w:rsidR="00C95EA7" w:rsidRPr="00C9564D">
              <w:rPr>
                <w:color w:val="000000" w:themeColor="text1"/>
              </w:rPr>
              <w:t xml:space="preserve"> or traditional uses,</w:t>
            </w:r>
            <w:r w:rsidRPr="00C9564D">
              <w:rPr>
                <w:color w:val="000000" w:themeColor="text1"/>
              </w:rPr>
              <w:t xml:space="preserve"> </w:t>
            </w:r>
            <w:r w:rsidR="00C95EA7" w:rsidRPr="00C9564D">
              <w:rPr>
                <w:color w:val="000000" w:themeColor="text1"/>
              </w:rPr>
              <w:t>non-wood (forest) products</w:t>
            </w:r>
          </w:p>
          <w:p w14:paraId="7426677F" w14:textId="77777777" w:rsidR="00830EE5" w:rsidRPr="00C9564D" w:rsidRDefault="00830EE5" w:rsidP="00830EE5">
            <w:pPr>
              <w:spacing w:before="120" w:after="120"/>
              <w:jc w:val="both"/>
              <w:rPr>
                <w:color w:val="2F5496" w:themeColor="accent1" w:themeShade="BF"/>
              </w:rPr>
            </w:pPr>
            <w:r w:rsidRPr="00C9564D">
              <w:rPr>
                <w:color w:val="2F5496" w:themeColor="accent1" w:themeShade="BF"/>
              </w:rPr>
              <w:t>[ESCAPE from confinement, Forestry (including afforestation or reforestation)]</w:t>
            </w:r>
          </w:p>
          <w:p w14:paraId="005D7358" w14:textId="77777777" w:rsidR="00830EE5" w:rsidRPr="00C9564D" w:rsidRDefault="00830EE5" w:rsidP="00830EE5">
            <w:pPr>
              <w:spacing w:before="120" w:after="120"/>
              <w:jc w:val="both"/>
              <w:rPr>
                <w:color w:val="000000" w:themeColor="text1"/>
              </w:rPr>
            </w:pPr>
            <w:r w:rsidRPr="00C9564D">
              <w:rPr>
                <w:color w:val="2F5496" w:themeColor="accent1" w:themeShade="BF"/>
              </w:rPr>
              <w:t>[RELEASE in nature, Landscape/flora/fauna “improvement” in the wild]</w:t>
            </w:r>
          </w:p>
          <w:p w14:paraId="032281E2" w14:textId="0A5EEEC1" w:rsidR="00830EE5" w:rsidRPr="00C9564D" w:rsidRDefault="00830EE5" w:rsidP="005563D5">
            <w:pPr>
              <w:spacing w:before="120" w:after="120"/>
              <w:jc w:val="both"/>
              <w:rPr>
                <w:color w:val="000000" w:themeColor="text1"/>
              </w:rPr>
            </w:pPr>
          </w:p>
        </w:tc>
        <w:tc>
          <w:tcPr>
            <w:tcW w:w="3129" w:type="dxa"/>
          </w:tcPr>
          <w:p w14:paraId="5DDD600A" w14:textId="3001221B" w:rsidR="005563D5" w:rsidRPr="00C9564D" w:rsidRDefault="005563D5" w:rsidP="005563D5">
            <w:pPr>
              <w:spacing w:before="120" w:after="120"/>
              <w:jc w:val="both"/>
              <w:rPr>
                <w:color w:val="000000" w:themeColor="text1"/>
              </w:rPr>
            </w:pPr>
            <w:r w:rsidRPr="00C9564D">
              <w:rPr>
                <w:i/>
                <w:color w:val="000000" w:themeColor="text1"/>
              </w:rPr>
              <w:t>Acacia</w:t>
            </w:r>
            <w:r w:rsidR="001E1309" w:rsidRPr="00C9564D">
              <w:rPr>
                <w:i/>
                <w:color w:val="000000" w:themeColor="text1"/>
              </w:rPr>
              <w:t xml:space="preserve"> </w:t>
            </w:r>
            <w:r w:rsidR="001E1309" w:rsidRPr="00C9564D">
              <w:rPr>
                <w:iCs/>
                <w:color w:val="000000" w:themeColor="text1"/>
              </w:rPr>
              <w:t>sp. pl.</w:t>
            </w:r>
            <w:r w:rsidRPr="00C9564D">
              <w:rPr>
                <w:color w:val="000000" w:themeColor="text1"/>
              </w:rPr>
              <w:t xml:space="preserve">, </w:t>
            </w:r>
            <w:r w:rsidRPr="00C9564D">
              <w:rPr>
                <w:i/>
                <w:color w:val="000000" w:themeColor="text1"/>
              </w:rPr>
              <w:t>Eucalyptus</w:t>
            </w:r>
            <w:r w:rsidR="001E1309" w:rsidRPr="00C9564D">
              <w:rPr>
                <w:i/>
                <w:color w:val="000000" w:themeColor="text1"/>
              </w:rPr>
              <w:t xml:space="preserve"> </w:t>
            </w:r>
            <w:r w:rsidR="001E1309" w:rsidRPr="00C9564D">
              <w:rPr>
                <w:iCs/>
                <w:color w:val="000000" w:themeColor="text1"/>
              </w:rPr>
              <w:t>sp. pl.</w:t>
            </w:r>
            <w:r w:rsidRPr="00C9564D">
              <w:rPr>
                <w:color w:val="000000" w:themeColor="text1"/>
              </w:rPr>
              <w:t xml:space="preserve">, </w:t>
            </w:r>
            <w:r w:rsidRPr="00C9564D">
              <w:rPr>
                <w:i/>
                <w:color w:val="000000" w:themeColor="text1"/>
              </w:rPr>
              <w:t>Robinia pseudoacacia</w:t>
            </w:r>
          </w:p>
        </w:tc>
        <w:tc>
          <w:tcPr>
            <w:tcW w:w="7327" w:type="dxa"/>
          </w:tcPr>
          <w:p w14:paraId="10BA4E88" w14:textId="79BEB6FB" w:rsidR="005563D5" w:rsidRPr="00C9564D" w:rsidRDefault="00FA3F0F" w:rsidP="005563D5">
            <w:pPr>
              <w:spacing w:before="120" w:after="120"/>
              <w:jc w:val="both"/>
              <w:rPr>
                <w:color w:val="000000" w:themeColor="text1"/>
              </w:rPr>
            </w:pPr>
            <w:r w:rsidRPr="00C9564D">
              <w:rPr>
                <w:iCs/>
                <w:color w:val="000000" w:themeColor="text1"/>
              </w:rPr>
              <w:t xml:space="preserve">Many ‘multi-purpose’ trees have been transported around the world and several have subsequently become naturalised and invasive </w:t>
            </w:r>
            <w:r w:rsidRPr="00C9564D">
              <w:rPr>
                <w:iCs/>
                <w:color w:val="000000" w:themeColor="text1"/>
              </w:rPr>
              <w:fldChar w:fldCharType="begin"/>
            </w:r>
            <w:r w:rsidRPr="00C9564D">
              <w:rPr>
                <w:iCs/>
                <w:color w:val="000000" w:themeColor="text1"/>
              </w:rPr>
              <w:instrText xml:space="preserve"> ADDIN ZOTERO_ITEM CSL_CITATION {"citationID":"w3hapmLQ","properties":{"formattedCitation":"(Rejm\\uc0\\u225{}nek and Richardson 2013)","plainCitation":"(Rejmánek and Richardson 2013)","noteIndex":0},"citationItems":[{"id":389,"uris":["http://zotero.org/users/6602900/items/LMGKKVZ7"],"uri":["http://zotero.org/users/6602900/items/LMGKKVZ7"],"itemData":{"id":389,"type":"article-journal","abstract":"Abstract The global database of invasive trees and shrubs (Richardson  Diversity Distrib. 17, 788-809) has been updated, resulting in a total of 751 species (434 trees and 317 shrubs) from 90 families. Ten originally listed species were deleted (synonyms, inconclusive identification, etc.) and 139 additional invasive species (86 trees and 53 shrubs) are now included in the database. For many species, new records on their adventive distributions are added. The updated database also includes the native ranges for all listed species.","container-title":"Diversity and Distributions","DOI":"10.1111/ddi.12075","ISSN":"1366-9516","issue":"8","journalAbbreviation":"Diversity and Distributions","note":"publisher: John Wiley &amp; Sons, Ltd","page":"1093-1094","title":"Trees and shrubs as invasive alien species – 2013 update of the global database","volume":"19","author":[{"family":"Rejmánek","given":"Marcel"},{"family":"Richardson","given":"David M."}],"issued":{"date-parts":[["2013",8,1]]}}}],"schema":"https://github.com/citation-style-language/schema/raw/master/csl-citation.json"} </w:instrText>
            </w:r>
            <w:r w:rsidRPr="00C9564D">
              <w:rPr>
                <w:iCs/>
                <w:color w:val="000000" w:themeColor="text1"/>
              </w:rPr>
              <w:fldChar w:fldCharType="separate"/>
            </w:r>
            <w:r w:rsidR="00026EED" w:rsidRPr="00026EED">
              <w:t>(Rejmánek and Richardson 2013)</w:t>
            </w:r>
            <w:r w:rsidRPr="00C9564D">
              <w:rPr>
                <w:iCs/>
                <w:color w:val="000000" w:themeColor="text1"/>
              </w:rPr>
              <w:fldChar w:fldCharType="end"/>
            </w:r>
            <w:r w:rsidRPr="00C9564D">
              <w:rPr>
                <w:iCs/>
                <w:color w:val="000000" w:themeColor="text1"/>
              </w:rPr>
              <w:t>.</w:t>
            </w:r>
            <w:r w:rsidRPr="00C9564D">
              <w:rPr>
                <w:i/>
                <w:color w:val="000000" w:themeColor="text1"/>
              </w:rPr>
              <w:t xml:space="preserve"> </w:t>
            </w:r>
            <w:r w:rsidR="005563D5" w:rsidRPr="00C9564D">
              <w:rPr>
                <w:i/>
                <w:color w:val="000000" w:themeColor="text1"/>
              </w:rPr>
              <w:t>Robinia pseudoacacia</w:t>
            </w:r>
            <w:r w:rsidR="005563D5" w:rsidRPr="00C9564D">
              <w:rPr>
                <w:color w:val="000000" w:themeColor="text1"/>
              </w:rPr>
              <w:t xml:space="preserve"> has been widely used for various purposes such as ornamentation, timber (wood quality comparable to hardwood tropical trees), firewood, re-vegetation of dry land, soil stabilisation, fertilisation of poor soils and providing nectar for honey production</w:t>
            </w:r>
            <w:r w:rsidRPr="00C9564D">
              <w:rPr>
                <w:color w:val="000000" w:themeColor="text1"/>
              </w:rPr>
              <w:t xml:space="preserve"> </w:t>
            </w:r>
            <w:r w:rsidRPr="00C9564D">
              <w:rPr>
                <w:color w:val="000000" w:themeColor="text1"/>
              </w:rPr>
              <w:fldChar w:fldCharType="begin"/>
            </w:r>
            <w:r w:rsidRPr="00C9564D">
              <w:rPr>
                <w:color w:val="000000" w:themeColor="text1"/>
              </w:rPr>
              <w:instrText xml:space="preserve"> ADDIN ZOTERO_ITEM CSL_CITATION {"citationID":"OEzd1UD4","properties":{"formattedCitation":"(Gr\\uc0\\u252{}newald et al. 2009; V\\uc0\\u237{}tkov\\uc0\\u225{} et al. 2020)","plainCitation":"(Grünewald et al. 2009; Vítková et al. 2020)","noteIndex":0},"citationItems":[{"id":585,"uris":["http://zotero.org/users/6602900/items/6FC3K9KF"],"uri":["http://zotero.org/users/6602900/items/6FC3K9KF"],"itemData":{"id":585,"type":"article-journal","abstract":"Experiments with fast-growing tree species for biomass production in Germany have been mainly focused on the growth performance of Populus and Salix spp. Among the lesser-known species for energy plantations is Robinia pseudoacacia L. Special features of this species are its drought tolerance and its ability to fix nitrogen. Given the large share of marginal arable land in NE-Germany and the predicted climate change, R. pseudoacacia is expected to grow in importance. In order to evaluate the growth performance of this species under extreme conditions, four experiments were established in the post-mining landscape of the Lusatian lignite-mining district (NE-Germany). Biomass production was estimated for 3- to 14-year-old shoots on 4- to 14-year-old roots. Results for the annual production of oven-dried biomass of R. pseudoacacia ranged between 3 and 10 t ha−1, which was substantially greater than the biomass of poplar and willow clones established on the same site. Economic analysis results show that the rotation period, the duration of the plantation, and the harvesting costs are important parameters for the economic return and cash flow in short-rotation coppice cultivation. The results show that the cultivation of R. pseudoacacia is an economically competitive land-use strategy for the post-mining landscapes considered in our study.","container-title":"BioEnergy Research","DOI":"10.1007/s12155-009-9038-x","ISSN":"1939-1242","issue":"3","journalAbbreviation":"BioEnergy Research","page":"123-133","title":"Robinia pseudoacacia L.: A Lesser Known Tree Species for Biomass Production","volume":"2","author":[{"family":"Grünewald","given":"Holger"},{"family":"Böhm","given":"Christian"},{"family":"Quinkenstein","given":"Ansgar"},{"family":"Grundmann","given":"Philipp"},{"family":"Eberts","given":"Jörg"},{"family":"Wühlisch","given":"Georg","non-dropping-particle":"von"}],"issued":{"date-parts":[["2009",9,1]]}}},{"id":194,"uris":["http://zotero.org/users/6602900/items/UWI5DUD7"],"uri":["http://zotero.org/users/6602900/items/UWI5DUD7"],"itemData":{"id":194,"type":"article-journal","abstract":"Knowledge of the species composition of invaded vegetation helps to evaluate an ecological impact of aliens and design an optimal management strategy. We link a new vegetation analysis of a large dataset to the invasion history, ecology and management of Robinia pseudoacacia stands across Southern Europe and provide a map illustrating Robinia distribution. Finally, we compare detected relationships with Central Europe. We show that regional differences in Robinia invasion, distribution, habitats and management are driven both by local natural conditions (climate and soil properties, low competitive ability with native trees) and socioeconomic factors (traditional land-use). Based on the classification of 467 phytosociological relevés we distinguished five broad vegetation types reflecting an oceanity−continentality gradient. The stands were heterogeneous and included 824 taxa, with only 5.8% occurring in more than 10% of samples, representing mainly hemerobic generalists of mesophilous, nutrient-rich and semi-shady habitats. The most common were dry ruderal stands invading human-made habitats. Among native communities, disturbed mesic and alluvial forests were often invaded throughout the area, while dry forests and scrub dominated in Balkan countries. Continuous, long-term and large-scale cultivation represent a crucial factor driving Robinia invasions in natural habitats. Its invasion should be mitigated by suitable management taking into account adjacent habitats and changing cultivation practices to select for native species. Robinia invasion has a comparable pattern in Central and Southern Europe, but there is a substantial difference in management and utilization causing heterogeneity of many South-European stands.","container-title":"Science of The Total Environment","DOI":"10.1016/j.scitotenv.2019.134857","ISSN":"0048-9697","journalAbbreviation":"Science of The Total Environment","page":"134857","title":"Robinia pseudoacacia-dominated vegetation types of Southern Europe: Species composition, history, distribution and management","volume":"707","author":[{"family":"Vítková","given":"Michaela"},{"family":"Sádlo","given":"Jiří"},{"family":"Roleček","given":"Jan"},{"family":"Petřík","given":"Petr"},{"family":"Sitzia","given":"Tommaso"},{"family":"Müllerová","given":"Jana"},{"family":"Pyšek","given":"Petr"}],"issued":{"date-parts":[["2020",3,10]]}}}],"schema":"https://github.com/citation-style-language/schema/raw/master/csl-citation.json"} </w:instrText>
            </w:r>
            <w:r w:rsidRPr="00C9564D">
              <w:rPr>
                <w:color w:val="000000" w:themeColor="text1"/>
              </w:rPr>
              <w:fldChar w:fldCharType="separate"/>
            </w:r>
            <w:r w:rsidR="00026EED" w:rsidRPr="00026EED">
              <w:t>(Grünewald et al. 2009; Vítková et al. 2020)</w:t>
            </w:r>
            <w:r w:rsidRPr="00C9564D">
              <w:rPr>
                <w:color w:val="000000" w:themeColor="text1"/>
              </w:rPr>
              <w:fldChar w:fldCharType="end"/>
            </w:r>
            <w:r w:rsidR="005563D5" w:rsidRPr="00C9564D">
              <w:rPr>
                <w:color w:val="000000" w:themeColor="text1"/>
              </w:rPr>
              <w:t>.</w:t>
            </w:r>
          </w:p>
        </w:tc>
      </w:tr>
      <w:tr w:rsidR="005563D5" w:rsidRPr="00C9564D" w14:paraId="5057BD04" w14:textId="77777777" w:rsidTr="00830EE5">
        <w:tc>
          <w:tcPr>
            <w:tcW w:w="3129" w:type="dxa"/>
          </w:tcPr>
          <w:p w14:paraId="530EDE3A" w14:textId="77777777" w:rsidR="005563D5" w:rsidRPr="00C9564D" w:rsidRDefault="005563D5" w:rsidP="005563D5">
            <w:pPr>
              <w:spacing w:before="120" w:after="120"/>
              <w:jc w:val="both"/>
              <w:rPr>
                <w:color w:val="000000" w:themeColor="text1"/>
              </w:rPr>
            </w:pPr>
            <w:r w:rsidRPr="00C9564D">
              <w:rPr>
                <w:color w:val="000000" w:themeColor="text1"/>
              </w:rPr>
              <w:t>Breeding - Genetically improved and genetically modified alien trees</w:t>
            </w:r>
          </w:p>
          <w:p w14:paraId="7C70278A" w14:textId="77777777" w:rsidR="00830EE5" w:rsidRPr="00C9564D" w:rsidRDefault="00830EE5" w:rsidP="00830EE5">
            <w:pPr>
              <w:spacing w:before="120" w:after="120"/>
              <w:jc w:val="both"/>
              <w:rPr>
                <w:color w:val="2F5496" w:themeColor="accent1" w:themeShade="BF"/>
              </w:rPr>
            </w:pPr>
            <w:r w:rsidRPr="00C9564D">
              <w:rPr>
                <w:color w:val="2F5496" w:themeColor="accent1" w:themeShade="BF"/>
              </w:rPr>
              <w:t>[ESCAPE from confinement, Forestry (including afforestation or reforestation)]</w:t>
            </w:r>
          </w:p>
          <w:p w14:paraId="417DB574" w14:textId="191B9AD0" w:rsidR="00830EE5" w:rsidRPr="00C9564D" w:rsidRDefault="00830EE5" w:rsidP="005563D5">
            <w:pPr>
              <w:spacing w:before="120" w:after="120"/>
              <w:jc w:val="both"/>
              <w:rPr>
                <w:color w:val="000000" w:themeColor="text1"/>
              </w:rPr>
            </w:pPr>
          </w:p>
        </w:tc>
        <w:tc>
          <w:tcPr>
            <w:tcW w:w="3129" w:type="dxa"/>
          </w:tcPr>
          <w:p w14:paraId="0EA6E861" w14:textId="6CD2033E" w:rsidR="005563D5" w:rsidRPr="00C9564D" w:rsidRDefault="00B50045" w:rsidP="005563D5">
            <w:pPr>
              <w:spacing w:before="120" w:after="120"/>
              <w:jc w:val="both"/>
              <w:rPr>
                <w:color w:val="000000" w:themeColor="text1"/>
              </w:rPr>
            </w:pPr>
            <w:r w:rsidRPr="00C9564D">
              <w:rPr>
                <w:color w:val="000000" w:themeColor="text1"/>
              </w:rPr>
              <w:t>(many)</w:t>
            </w:r>
          </w:p>
        </w:tc>
        <w:tc>
          <w:tcPr>
            <w:tcW w:w="7327" w:type="dxa"/>
          </w:tcPr>
          <w:p w14:paraId="25DD16B8" w14:textId="4B3F9A8A" w:rsidR="004D1EF0" w:rsidRPr="00C9564D" w:rsidRDefault="004D1EF0" w:rsidP="005563D5">
            <w:pPr>
              <w:spacing w:before="120" w:after="120"/>
              <w:jc w:val="both"/>
              <w:rPr>
                <w:color w:val="000000" w:themeColor="text1"/>
                <w:highlight w:val="yellow"/>
              </w:rPr>
            </w:pPr>
            <w:r w:rsidRPr="00C9564D">
              <w:rPr>
                <w:color w:val="000000" w:themeColor="text1"/>
              </w:rPr>
              <w:t>Intensively managed, highly productive forestry incorporating the most advanced methods for tree breeding, including the application of genetic engineering, has tremendous potential for producing more wood on less land. However, the deployment of genetic engineering trees in plantation forests, both on native and NNTs is a controversial topic and concerns have been particularly expressed about potential harms to the environment</w:t>
            </w:r>
            <w:r w:rsidR="00891941" w:rsidRPr="00C9564D">
              <w:rPr>
                <w:color w:val="000000" w:themeColor="text1"/>
              </w:rPr>
              <w:t xml:space="preserve"> </w:t>
            </w:r>
            <w:r w:rsidR="00891941" w:rsidRPr="00C9564D">
              <w:rPr>
                <w:color w:val="000000" w:themeColor="text1"/>
              </w:rPr>
              <w:fldChar w:fldCharType="begin"/>
            </w:r>
            <w:r w:rsidR="00891941" w:rsidRPr="00C9564D">
              <w:rPr>
                <w:color w:val="000000" w:themeColor="text1"/>
              </w:rPr>
              <w:instrText xml:space="preserve"> ADDIN ZOTERO_ITEM CSL_CITATION {"citationID":"7WJPcotw","properties":{"formattedCitation":"(H\\uc0\\u228{}ggman et al. 2013; Ruohonen-Lehto et al. 2016)","plainCitation":"(Häggman et al. 2013; Ruohonen-Lehto et al. 2016)","noteIndex":0},"citationItems":[{"id":594,"uris":["http://zotero.org/users/6602900/items/5U5HXXLL"],"uri":["http://zotero.org/users/6602900/items/5U5HXXLL"],"itemData":{"id":594,"type":"article-journal","abstract":"Summary Forests are vital to the world's ecological, social, cultural and economic well-being yet sustainable provision of goods and services from forests is increasingly challenged by pressures such as growing demand for wood and other forest products, land conversion and degradation, and climate change. Intensively managed, highly productive forestry incorporating the most advanced methods for tree breeding, including the application of genetic engineering (GE), has tremendous potential for producing more wood on less land. However, the deployment of GE trees in plantation forests is a controversial topic and concerns have been particularly expressed about potential harms to the environment. This paper, prepared by an international group of experts in silviculture, forest tree breeding, forest biotechnology and environmental risk assessment (ERA) that met in April 2012, examines how the ERA paradigm used for GE crop plants may be applied to GE trees for use in plantation forests. It emphasizes the importance of differentiating between ERA for confined field trials of GE trees, and ERA for unconfined or commercial-scale releases. In the case of the latter, particular attention is paid to characteristics of forest trees that distinguish them from shorter-lived plant species, the temporal and spatial scale of forests, and the biodiversity of the plantation forest as a receiving environment.","container-title":"Plant Biotechnology Journal","DOI":"10.1111/pbi.12100","ISSN":"1467-7644","issue":"7","journalAbbreviation":"Plant Biotechnology Journal","note":"publisher: John Wiley &amp; Sons, Ltd","page":"785-798","title":"Genetically engineered trees for plantation forests: key considerations for environmental risk assessment","volume":"11","author":[{"family":"Häggman","given":"Hely"},{"family":"Raybould","given":"Alan"},{"family":"Borem","given":"Aluizio"},{"family":"Fox","given":"Thomas"},{"family":"Handley","given":"Levis"},{"family":"Hertzberg","given":"Magnus"},{"family":"Lu","given":"Meng-Zu"},{"family":"Macdonald","given":"Philip"},{"family":"Oguchi","given":"Taichi"},{"family":"Pasquali","given":"Giancarlo"},{"family":"Pearson","given":"Les"},{"family":"Peter","given":"Gary"},{"family":"Quemada","given":"Hector"},{"family":"Séguin","given":"Armand"},{"family":"Tattersall","given":"Kylie"},{"family":"Ulian","given":"Eugênio"},{"family":"Walter","given":"Christian"},{"family":"McLean","given":"Morven"}],"issued":{"date-parts":[["2013",9,1]]}}},{"id":660,"uris":["http://zotero.org/users/6602900/items/9P6UV25B"],"uri":["http://zotero.org/users/6602900/items/9P6UV25B"],"itemData":{"id":660,"type":"chapter","container-title":"Biosafety of Forest Transgenic Trees","page":"127-140","publisher":"Springer","title":"Specific Environmental Considerations for GM Trees and Guidance on Their Risk Assessment and Monitoring","author":[{"family":"Ruohonen-Lehto","given":"Marja K"},{"family":"Lohtander","given":"Katileena MM"},{"family":"Sweet","given":"Jeremy B"}],"issued":{"date-parts":[["2016"]]}}}],"schema":"https://github.com/citation-style-language/schema/raw/master/csl-citation.json"} </w:instrText>
            </w:r>
            <w:r w:rsidR="00891941" w:rsidRPr="00C9564D">
              <w:rPr>
                <w:color w:val="000000" w:themeColor="text1"/>
              </w:rPr>
              <w:fldChar w:fldCharType="separate"/>
            </w:r>
            <w:r w:rsidR="00026EED" w:rsidRPr="00026EED">
              <w:t>(Häggman et al. 2013; Ruohonen-Lehto et al. 2016)</w:t>
            </w:r>
            <w:r w:rsidR="00891941" w:rsidRPr="00C9564D">
              <w:rPr>
                <w:color w:val="000000" w:themeColor="text1"/>
              </w:rPr>
              <w:fldChar w:fldCharType="end"/>
            </w:r>
            <w:r w:rsidR="00891941" w:rsidRPr="00C9564D">
              <w:rPr>
                <w:color w:val="000000" w:themeColor="text1"/>
              </w:rPr>
              <w:t>.</w:t>
            </w:r>
          </w:p>
          <w:p w14:paraId="342D7E6C" w14:textId="1243E2C6" w:rsidR="005563D5" w:rsidRPr="00C9564D" w:rsidRDefault="005563D5" w:rsidP="005563D5">
            <w:pPr>
              <w:spacing w:before="120" w:after="120"/>
              <w:jc w:val="both"/>
              <w:rPr>
                <w:color w:val="000000" w:themeColor="text1"/>
              </w:rPr>
            </w:pPr>
          </w:p>
        </w:tc>
      </w:tr>
    </w:tbl>
    <w:p w14:paraId="50FB1CBE" w14:textId="77777777" w:rsidR="00A57294" w:rsidRPr="00C9564D" w:rsidRDefault="00A57294" w:rsidP="00A57294">
      <w:pPr>
        <w:spacing w:before="120" w:after="120"/>
        <w:jc w:val="both"/>
        <w:rPr>
          <w:b/>
          <w:bCs/>
          <w:color w:val="C45911" w:themeColor="accent2" w:themeShade="BF"/>
        </w:rPr>
      </w:pPr>
    </w:p>
    <w:p w14:paraId="4C8A7A24" w14:textId="77777777" w:rsidR="00A57294" w:rsidRPr="00C9564D" w:rsidRDefault="00A57294" w:rsidP="00A57294">
      <w:pPr>
        <w:suppressAutoHyphens w:val="0"/>
        <w:rPr>
          <w:b/>
          <w:bCs/>
          <w:color w:val="C45911" w:themeColor="accent2" w:themeShade="BF"/>
        </w:rPr>
      </w:pPr>
      <w:r w:rsidRPr="00C9564D">
        <w:rPr>
          <w:b/>
          <w:bCs/>
          <w:color w:val="C45911" w:themeColor="accent2" w:themeShade="BF"/>
        </w:rPr>
        <w:br w:type="page"/>
      </w:r>
    </w:p>
    <w:p w14:paraId="777C9E1A" w14:textId="53E23776" w:rsidR="00A57294" w:rsidRPr="00E205FC" w:rsidRDefault="00AF6900" w:rsidP="00A57294">
      <w:pPr>
        <w:spacing w:before="120" w:after="120"/>
        <w:jc w:val="both"/>
        <w:rPr>
          <w:i/>
        </w:rPr>
      </w:pPr>
      <w:r w:rsidRPr="00C9564D">
        <w:rPr>
          <w:b/>
          <w:bCs/>
          <w:color w:val="C45911" w:themeColor="accent2" w:themeShade="BF"/>
        </w:rPr>
        <w:lastRenderedPageBreak/>
        <w:t>Table</w:t>
      </w:r>
      <w:r w:rsidR="00A57294" w:rsidRPr="00C9564D">
        <w:rPr>
          <w:b/>
          <w:bCs/>
          <w:color w:val="C45911" w:themeColor="accent2" w:themeShade="BF"/>
        </w:rPr>
        <w:t xml:space="preserve"> </w:t>
      </w:r>
      <w:r w:rsidR="00B50045" w:rsidRPr="00C9564D">
        <w:rPr>
          <w:b/>
          <w:bCs/>
          <w:color w:val="C45911" w:themeColor="accent2" w:themeShade="BF"/>
        </w:rPr>
        <w:t>2S</w:t>
      </w:r>
      <w:r w:rsidRPr="00C9564D">
        <w:rPr>
          <w:b/>
          <w:bCs/>
          <w:color w:val="C45911" w:themeColor="accent2" w:themeShade="BF"/>
        </w:rPr>
        <w:t>.</w:t>
      </w:r>
      <w:r w:rsidR="00A57294" w:rsidRPr="00C9564D">
        <w:rPr>
          <w:b/>
          <w:bCs/>
          <w:color w:val="000000" w:themeColor="text1"/>
        </w:rPr>
        <w:t xml:space="preserve"> </w:t>
      </w:r>
      <w:r w:rsidR="00A57294" w:rsidRPr="00E205FC">
        <w:rPr>
          <w:color w:val="000000" w:themeColor="text1"/>
        </w:rPr>
        <w:t xml:space="preserve">Main types of negative impacts </w:t>
      </w:r>
      <w:r w:rsidR="00094453" w:rsidRPr="00E205FC">
        <w:rPr>
          <w:color w:val="000000" w:themeColor="text1"/>
        </w:rPr>
        <w:t xml:space="preserve">of INNTs </w:t>
      </w:r>
      <w:r w:rsidR="006E4A44" w:rsidRPr="00E205FC">
        <w:rPr>
          <w:color w:val="000000" w:themeColor="text1"/>
        </w:rPr>
        <w:t xml:space="preserve">(after </w:t>
      </w:r>
      <w:r w:rsidR="003E7C09" w:rsidRPr="00E205FC">
        <w:rPr>
          <w:color w:val="000000" w:themeColor="text1"/>
        </w:rPr>
        <w:fldChar w:fldCharType="begin"/>
      </w:r>
      <w:r w:rsidR="00633532" w:rsidRPr="00E205FC">
        <w:rPr>
          <w:color w:val="000000" w:themeColor="text1"/>
        </w:rPr>
        <w:instrText xml:space="preserve"> ADDIN ZOTERO_ITEM CSL_CITATION {"citationID":"qQrvoMYK","properties":{"formattedCitation":"(Richardson et al. 2000)","plainCitation":"(Richardson et al. 2000)","dontUpdate":true,"noteIndex":0},"citationItems":[{"id":317,"uris":["http://zotero.org/users/6602900/items/YZIMXTW9"],"uri":["http://zotero.org/users/6602900/items/YZIMXTW9"],"itemData":{"id":317,"type":"article-journal","abstract":"Abstract.? Much confusion exists in the English-language literature on plant invasions concerning the terms ?naturalized? and ?invasive? and their associated concepts. Several authors have used these terms in proposing schemes for conceptualizing the sequence of events from introduction to invasion, but often imprecisely, erroneously or in contradictory ways. This greatly complicates the formulation of robust generalizations in invasion ecology. Based on an extensive and critical survey of the literature we defined a minimum set of key terms related to a graphic scheme which conceptualizes the naturalization/invasion process. Introduction means that the plant (or its propagule) has been transported by humans across a major geographical barrier. Naturalization starts when abiotic and biotic barriers to survival are surmounted and when various barriers to regular reproduction are overcome. Invasion further requires that introduced plants produce reproductive offspring in areas distant from sites of introduction (approximate scales: &gt; 100 m over &lt; 50 years for taxa spreading by seeds and other propagules; &gt; 6 m/3 years for taxa spreading by roots, rhizomes, stolons or creeping stems). Taxa that can cope with the abiotic environment and biota in the general area may invade disturbed, seminatural communities. Invasion of successionally mature, undisturbed communities usually requires that the alien taxon overcomes a different category of barriers. We propose that the term ?invasive? should be used without any inference to environmental or economic impact. Terms like ?pests? and ?weeds? are suitable labels for the 50?80% of invaders that have harmful effects. About 10% of invasive plants that change the character, condition, form, or nature of ecosystems over substantial areas may be termed ?transformers?.","container-title":"Diversity and Distributions","DOI":"10.1046/j.1472-4642.2000.00083.x","ISSN":"1366-9516","issue":"2","journalAbbreviation":"Diversity and Distributions","note":"publisher: John Wiley &amp; Sons, Ltd","page":"93-107","title":"Naturalization and invasion of alien plants: concepts and definitions","volume":"6","author":[{"family":"Richardson","given":"David M."},{"family":"Pyšek","given":"Petr"},{"family":"Rejmánek","given":"Marcel"},{"family":"Barbour","given":"Michael G."},{"family":"Panetta","given":"F. Dane"},{"family":"West","given":"Carol J."}],"issued":{"date-parts":[["2000",3,1]]}}}],"schema":"https://github.com/citation-style-language/schema/raw/master/csl-citation.json"} </w:instrText>
      </w:r>
      <w:r w:rsidR="003E7C09" w:rsidRPr="00E205FC">
        <w:rPr>
          <w:color w:val="000000" w:themeColor="text1"/>
        </w:rPr>
        <w:fldChar w:fldCharType="separate"/>
      </w:r>
      <w:r w:rsidR="003E7C09" w:rsidRPr="00E205FC">
        <w:t>Richardson et al. 2000)</w:t>
      </w:r>
      <w:r w:rsidR="003E7C09" w:rsidRPr="00E205FC">
        <w:rPr>
          <w:color w:val="000000" w:themeColor="text1"/>
        </w:rPr>
        <w:fldChar w:fldCharType="end"/>
      </w:r>
      <w:r w:rsidRPr="00C9564D">
        <w:rPr>
          <w:color w:val="000000" w:themeColor="text1"/>
        </w:rPr>
        <w:t>.</w:t>
      </w:r>
    </w:p>
    <w:p w14:paraId="02CA4249" w14:textId="77777777" w:rsidR="00A57294" w:rsidRPr="00C9564D" w:rsidRDefault="00A57294" w:rsidP="00A57294">
      <w:pPr>
        <w:spacing w:before="120" w:after="120"/>
        <w:jc w:val="both"/>
        <w:rPr>
          <w:color w:val="000000" w:themeColor="text1"/>
        </w:rPr>
      </w:pPr>
    </w:p>
    <w:p w14:paraId="4DA36E69" w14:textId="77777777" w:rsidR="00A57294" w:rsidRPr="00C9564D" w:rsidRDefault="00A57294" w:rsidP="00A57294">
      <w:pPr>
        <w:spacing w:before="120" w:after="120"/>
        <w:jc w:val="both"/>
        <w:rPr>
          <w:color w:val="000000" w:themeColor="text1"/>
        </w:rPr>
      </w:pPr>
    </w:p>
    <w:tbl>
      <w:tblPr>
        <w:tblStyle w:val="TableGrid"/>
        <w:tblW w:w="14395" w:type="dxa"/>
        <w:tblLook w:val="04A0" w:firstRow="1" w:lastRow="0" w:firstColumn="1" w:lastColumn="0" w:noHBand="0" w:noVBand="1"/>
      </w:tblPr>
      <w:tblGrid>
        <w:gridCol w:w="1798"/>
        <w:gridCol w:w="1887"/>
        <w:gridCol w:w="10710"/>
      </w:tblGrid>
      <w:tr w:rsidR="00830EE5" w:rsidRPr="00C9564D" w14:paraId="7FF3A6EE" w14:textId="77777777" w:rsidTr="00830EE5">
        <w:tc>
          <w:tcPr>
            <w:tcW w:w="1798" w:type="dxa"/>
          </w:tcPr>
          <w:p w14:paraId="11CF91AE" w14:textId="77777777" w:rsidR="00830EE5" w:rsidRPr="00C9564D" w:rsidRDefault="00830EE5" w:rsidP="00D06125">
            <w:pPr>
              <w:spacing w:before="120" w:after="120"/>
              <w:jc w:val="center"/>
              <w:rPr>
                <w:b/>
                <w:bCs/>
                <w:color w:val="000000" w:themeColor="text1"/>
              </w:rPr>
            </w:pPr>
            <w:r w:rsidRPr="00C9564D">
              <w:rPr>
                <w:b/>
                <w:bCs/>
                <w:color w:val="000000" w:themeColor="text1"/>
              </w:rPr>
              <w:t>Type</w:t>
            </w:r>
          </w:p>
        </w:tc>
        <w:tc>
          <w:tcPr>
            <w:tcW w:w="1887" w:type="dxa"/>
          </w:tcPr>
          <w:p w14:paraId="332FEC73" w14:textId="738E637E" w:rsidR="00830EE5" w:rsidRPr="00C9564D" w:rsidRDefault="00830EE5" w:rsidP="00D06125">
            <w:pPr>
              <w:spacing w:before="120" w:after="120"/>
              <w:jc w:val="center"/>
              <w:rPr>
                <w:b/>
                <w:bCs/>
                <w:color w:val="000000" w:themeColor="text1"/>
              </w:rPr>
            </w:pPr>
            <w:r w:rsidRPr="00C9564D">
              <w:rPr>
                <w:b/>
                <w:bCs/>
                <w:color w:val="000000" w:themeColor="text1"/>
              </w:rPr>
              <w:t>EICAT</w:t>
            </w:r>
            <w:r w:rsidR="00F4764E" w:rsidRPr="00C9564D">
              <w:rPr>
                <w:rStyle w:val="FootnoteReference"/>
              </w:rPr>
              <w:footnoteReference w:id="1"/>
            </w:r>
            <w:r w:rsidRPr="00C9564D">
              <w:rPr>
                <w:b/>
                <w:bCs/>
                <w:color w:val="000000" w:themeColor="text1"/>
              </w:rPr>
              <w:t xml:space="preserve"> mechanism</w:t>
            </w:r>
          </w:p>
        </w:tc>
        <w:tc>
          <w:tcPr>
            <w:tcW w:w="10710" w:type="dxa"/>
          </w:tcPr>
          <w:p w14:paraId="260DF16D" w14:textId="2D568080" w:rsidR="00830EE5" w:rsidRPr="00C9564D" w:rsidRDefault="00830EE5" w:rsidP="00D06125">
            <w:pPr>
              <w:spacing w:before="120" w:after="120"/>
              <w:jc w:val="center"/>
              <w:rPr>
                <w:b/>
                <w:bCs/>
                <w:color w:val="000000" w:themeColor="text1"/>
              </w:rPr>
            </w:pPr>
            <w:r w:rsidRPr="00C9564D">
              <w:rPr>
                <w:b/>
                <w:bCs/>
                <w:color w:val="000000" w:themeColor="text1"/>
              </w:rPr>
              <w:t>Impact description &amp; examples</w:t>
            </w:r>
          </w:p>
        </w:tc>
      </w:tr>
      <w:tr w:rsidR="00830EE5" w:rsidRPr="00C9564D" w14:paraId="6D172D1F" w14:textId="77777777" w:rsidTr="00830EE5">
        <w:tc>
          <w:tcPr>
            <w:tcW w:w="1798" w:type="dxa"/>
          </w:tcPr>
          <w:p w14:paraId="4157EB7A" w14:textId="77777777" w:rsidR="00830EE5" w:rsidRPr="00C9564D" w:rsidRDefault="00830EE5" w:rsidP="00D06125">
            <w:pPr>
              <w:spacing w:before="120" w:after="120"/>
              <w:rPr>
                <w:color w:val="000000" w:themeColor="text1"/>
              </w:rPr>
            </w:pPr>
            <w:r w:rsidRPr="00C9564D">
              <w:rPr>
                <w:b/>
                <w:color w:val="000000" w:themeColor="text1"/>
              </w:rPr>
              <w:t>Transformers</w:t>
            </w:r>
            <w:r w:rsidRPr="00C9564D">
              <w:rPr>
                <w:color w:val="000000" w:themeColor="text1"/>
              </w:rPr>
              <w:t xml:space="preserve"> (ecosystem engineers)</w:t>
            </w:r>
          </w:p>
        </w:tc>
        <w:tc>
          <w:tcPr>
            <w:tcW w:w="1887" w:type="dxa"/>
          </w:tcPr>
          <w:p w14:paraId="0E66361B" w14:textId="3161A84E" w:rsidR="00830EE5" w:rsidRPr="00C9564D" w:rsidRDefault="00830EE5" w:rsidP="00D06125">
            <w:pPr>
              <w:spacing w:before="120" w:after="120"/>
              <w:rPr>
                <w:color w:val="000000" w:themeColor="text1"/>
              </w:rPr>
            </w:pPr>
            <w:r w:rsidRPr="00C9564D">
              <w:rPr>
                <w:color w:val="000000" w:themeColor="text1"/>
              </w:rPr>
              <w:t xml:space="preserve">(9), (10) &amp; (11) Chemical, physical </w:t>
            </w:r>
            <w:r w:rsidR="00693CC3" w:rsidRPr="00C9564D">
              <w:rPr>
                <w:color w:val="000000" w:themeColor="text1"/>
              </w:rPr>
              <w:t>and/</w:t>
            </w:r>
            <w:r w:rsidRPr="00C9564D">
              <w:rPr>
                <w:color w:val="000000" w:themeColor="text1"/>
              </w:rPr>
              <w:t>or structural impact on ecosystem</w:t>
            </w:r>
          </w:p>
        </w:tc>
        <w:tc>
          <w:tcPr>
            <w:tcW w:w="10710" w:type="dxa"/>
          </w:tcPr>
          <w:p w14:paraId="1525519D" w14:textId="4B8FD843" w:rsidR="00830EE5" w:rsidRPr="00C9564D" w:rsidRDefault="00FA3F0F" w:rsidP="007115A1">
            <w:pPr>
              <w:spacing w:before="120" w:after="120"/>
              <w:jc w:val="both"/>
              <w:rPr>
                <w:color w:val="000000" w:themeColor="text1"/>
              </w:rPr>
            </w:pPr>
            <w:r w:rsidRPr="00C9564D">
              <w:rPr>
                <w:color w:val="000000" w:themeColor="text1"/>
              </w:rPr>
              <w:t>Transformer INNTs are i</w:t>
            </w:r>
            <w:r w:rsidR="00830EE5" w:rsidRPr="00C9564D">
              <w:rPr>
                <w:color w:val="000000" w:themeColor="text1"/>
              </w:rPr>
              <w:t xml:space="preserve">nvasive </w:t>
            </w:r>
            <w:r w:rsidRPr="00C9564D">
              <w:rPr>
                <w:color w:val="000000" w:themeColor="text1"/>
              </w:rPr>
              <w:t>NNTs</w:t>
            </w:r>
            <w:r w:rsidR="00830EE5" w:rsidRPr="00C9564D">
              <w:rPr>
                <w:color w:val="000000" w:themeColor="text1"/>
              </w:rPr>
              <w:t xml:space="preserve"> that reach very high densities and substantially increase biomass or change the type and arrangement of above-ground material</w:t>
            </w:r>
            <w:r w:rsidR="00B303A3" w:rsidRPr="00C9564D">
              <w:rPr>
                <w:color w:val="000000" w:themeColor="text1"/>
              </w:rPr>
              <w:t xml:space="preserve"> </w:t>
            </w:r>
            <w:r w:rsidR="00B303A3" w:rsidRPr="00C9564D">
              <w:rPr>
                <w:color w:val="000000" w:themeColor="text1"/>
              </w:rPr>
              <w:fldChar w:fldCharType="begin"/>
            </w:r>
            <w:r w:rsidR="000740E0" w:rsidRPr="00C9564D">
              <w:rPr>
                <w:color w:val="000000" w:themeColor="text1"/>
              </w:rPr>
              <w:instrText xml:space="preserve"> ADDIN ZOTERO_ITEM CSL_CITATION {"citationID":"SkRYcAbS","properties":{"formattedCitation":"(Richardson et al. 2000)","plainCitation":"(Richardson et al. 2000)","dontUpdate":true,"noteIndex":0},"citationItems":[{"id":317,"uris":["http://zotero.org/users/6602900/items/YZIMXTW9"],"uri":["http://zotero.org/users/6602900/items/YZIMXTW9"],"itemData":{"id":317,"type":"article-journal","abstract":"Abstract.? Much confusion exists in the English-language literature on plant invasions concerning the terms ?naturalized? and ?invasive? and their associated concepts. Several authors have used these terms in proposing schemes for conceptualizing the sequence of events from introduction to invasion, but often imprecisely, erroneously or in contradictory ways. This greatly complicates the formulation of robust generalizations in invasion ecology. Based on an extensive and critical survey of the literature we defined a minimum set of key terms related to a graphic scheme which conceptualizes the naturalization/invasion process. Introduction means that the plant (or its propagule) has been transported by humans across a major geographical barrier. Naturalization starts when abiotic and biotic barriers to survival are surmounted and when various barriers to regular reproduction are overcome. Invasion further requires that introduced plants produce reproductive offspring in areas distant from sites of introduction (approximate scales: &gt; 100 m over &lt; 50 years for taxa spreading by seeds and other propagules; &gt; 6 m/3 years for taxa spreading by roots, rhizomes, stolons or creeping stems). Taxa that can cope with the abiotic environment and biota in the general area may invade disturbed, seminatural communities. Invasion of successionally mature, undisturbed communities usually requires that the alien taxon overcomes a different category of barriers. We propose that the term ?invasive? should be used without any inference to environmental or economic impact. Terms like ?pests? and ?weeds? are suitable labels for the 50?80% of invaders that have harmful effects. About 10% of invasive plants that change the character, condition, form, or nature of ecosystems over substantial areas may be termed ?transformers?.","container-title":"Diversity and Distributions","DOI":"10.1046/j.1472-4642.2000.00083.x","ISSN":"1366-9516","issue":"2","journalAbbreviation":"Diversity and Distributions","note":"publisher: John Wiley &amp; Sons, Ltd","page":"93-107","title":"Naturalization and invasion of alien plants: concepts and definitions","volume":"6","author":[{"family":"Richardson","given":"David M."},{"family":"Pyšek","given":"Petr"},{"family":"Rejmánek","given":"Marcel"},{"family":"Barbour","given":"Michael G."},{"family":"Panetta","given":"F. Dane"},{"family":"West","given":"Carol J."}],"issued":{"date-parts":[["2000",3,1]]}}}],"schema":"https://github.com/citation-style-language/schema/raw/master/csl-citation.json"} </w:instrText>
            </w:r>
            <w:r w:rsidR="00B303A3" w:rsidRPr="00C9564D">
              <w:rPr>
                <w:color w:val="000000" w:themeColor="text1"/>
              </w:rPr>
              <w:fldChar w:fldCharType="separate"/>
            </w:r>
            <w:r w:rsidR="00B303A3" w:rsidRPr="00C9564D">
              <w:t>(</w:t>
            </w:r>
            <w:r w:rsidR="00F4764E" w:rsidRPr="00C9564D">
              <w:rPr>
                <w:i/>
                <w:iCs/>
              </w:rPr>
              <w:t>sensu</w:t>
            </w:r>
            <w:r w:rsidR="00F4764E" w:rsidRPr="00C9564D">
              <w:t xml:space="preserve"> </w:t>
            </w:r>
            <w:r w:rsidR="00B303A3" w:rsidRPr="00C9564D">
              <w:t>Richardson et al. 2000)</w:t>
            </w:r>
            <w:r w:rsidR="00B303A3" w:rsidRPr="00C9564D">
              <w:rPr>
                <w:color w:val="000000" w:themeColor="text1"/>
              </w:rPr>
              <w:fldChar w:fldCharType="end"/>
            </w:r>
            <w:r w:rsidR="00B303A3" w:rsidRPr="00C9564D">
              <w:rPr>
                <w:color w:val="000000" w:themeColor="text1"/>
              </w:rPr>
              <w:t>.</w:t>
            </w:r>
          </w:p>
          <w:p w14:paraId="1EEC5F77" w14:textId="0A250461" w:rsidR="00830EE5" w:rsidRPr="00E205FC" w:rsidRDefault="00830EE5" w:rsidP="007115A1">
            <w:pPr>
              <w:spacing w:before="120" w:after="120"/>
              <w:jc w:val="both"/>
              <w:rPr>
                <w:color w:val="000000" w:themeColor="text1"/>
              </w:rPr>
            </w:pPr>
            <w:r w:rsidRPr="00C9564D">
              <w:rPr>
                <w:color w:val="000000" w:themeColor="text1"/>
              </w:rPr>
              <w:t xml:space="preserve">Invasive alien </w:t>
            </w:r>
            <w:r w:rsidRPr="00C9564D">
              <w:rPr>
                <w:i/>
                <w:color w:val="000000" w:themeColor="text1"/>
              </w:rPr>
              <w:t>Acacia</w:t>
            </w:r>
            <w:r w:rsidRPr="00C9564D">
              <w:rPr>
                <w:color w:val="000000" w:themeColor="text1"/>
              </w:rPr>
              <w:t xml:space="preserve"> and </w:t>
            </w:r>
            <w:r w:rsidRPr="00C9564D">
              <w:rPr>
                <w:i/>
                <w:color w:val="000000" w:themeColor="text1"/>
              </w:rPr>
              <w:t>Pinus</w:t>
            </w:r>
            <w:r w:rsidRPr="00C9564D">
              <w:rPr>
                <w:color w:val="000000" w:themeColor="text1"/>
              </w:rPr>
              <w:t xml:space="preserve"> species have rapidly transformed species-rich fynbos shrublands in South Africa, sand-dune vegetation in Portugal, and grasslands and savannas in South America into species-poor, forests or woodlands dominated by alien species and with markedly changed biodiversity and ecosystem functions. </w:t>
            </w:r>
            <w:r w:rsidR="007115A1" w:rsidRPr="00C9564D">
              <w:rPr>
                <w:color w:val="000000" w:themeColor="text1"/>
              </w:rPr>
              <w:t>Examples include i</w:t>
            </w:r>
            <w:r w:rsidRPr="00C9564D">
              <w:rPr>
                <w:color w:val="000000" w:themeColor="text1"/>
              </w:rPr>
              <w:t xml:space="preserve">nvasion of </w:t>
            </w:r>
            <w:r w:rsidRPr="00C9564D">
              <w:rPr>
                <w:i/>
                <w:color w:val="000000" w:themeColor="text1"/>
              </w:rPr>
              <w:t>Melaleuca quinquenervia</w:t>
            </w:r>
            <w:r w:rsidRPr="00C9564D">
              <w:rPr>
                <w:color w:val="000000" w:themeColor="text1"/>
              </w:rPr>
              <w:t xml:space="preserve"> in Florida’s Everglades</w:t>
            </w:r>
            <w:r w:rsidR="00BA28D3" w:rsidRPr="00C9564D">
              <w:rPr>
                <w:color w:val="000000" w:themeColor="text1"/>
              </w:rPr>
              <w:t xml:space="preserve"> </w:t>
            </w:r>
            <w:r w:rsidR="00BA28D3" w:rsidRPr="00C9564D">
              <w:rPr>
                <w:color w:val="000000" w:themeColor="text1"/>
              </w:rPr>
              <w:fldChar w:fldCharType="begin"/>
            </w:r>
            <w:r w:rsidR="000740E0" w:rsidRPr="00C9564D">
              <w:rPr>
                <w:color w:val="000000" w:themeColor="text1"/>
              </w:rPr>
              <w:instrText xml:space="preserve"> ADDIN ZOTERO_ITEM CSL_CITATION {"citationID":"ZmkKjaj8","properties":{"formattedCitation":"(F. Allen Dray et al. 2006)","plainCitation":"(F. Allen Dray et al. 2006)","dontUpdate":true,"noteIndex":0},"citationItems":[{"id":688,"uris":["http://zotero.org/users/6602900/items/KGLF3CYA"],"uri":["http://zotero.org/users/6602900/items/KGLF3CYA"],"itemData":{"id":688,"type":"article-journal","container-title":"Castanea","DOI":"10.2179/05-27.1","issue":"3","journalAbbreviation":"Castanea","page":"210-225","title":"Invasion History of Melaleuca quinquenervia (Cav.) S.T. Blake in Florida","volume":"71","author":[{"literal":"F. Allen Dray"},{"literal":"Bradley C. Bennett"},{"literal":"Ted D. Center"}],"issued":{"date-parts":[["2006",9,1]]}}}],"schema":"https://github.com/citation-style-language/schema/raw/master/csl-citation.json"} </w:instrText>
            </w:r>
            <w:r w:rsidR="00BA28D3" w:rsidRPr="00C9564D">
              <w:rPr>
                <w:color w:val="000000" w:themeColor="text1"/>
              </w:rPr>
              <w:fldChar w:fldCharType="separate"/>
            </w:r>
            <w:r w:rsidR="00BA28D3" w:rsidRPr="00C9564D">
              <w:t>(Dray et al. 2006)</w:t>
            </w:r>
            <w:r w:rsidR="00BA28D3" w:rsidRPr="00C9564D">
              <w:rPr>
                <w:color w:val="000000" w:themeColor="text1"/>
              </w:rPr>
              <w:fldChar w:fldCharType="end"/>
            </w:r>
            <w:r w:rsidRPr="00C9564D">
              <w:rPr>
                <w:color w:val="000000" w:themeColor="text1"/>
              </w:rPr>
              <w:t xml:space="preserve">. Australian </w:t>
            </w:r>
            <w:r w:rsidRPr="00C9564D">
              <w:rPr>
                <w:i/>
                <w:color w:val="000000" w:themeColor="text1"/>
              </w:rPr>
              <w:t>Acacia</w:t>
            </w:r>
            <w:r w:rsidRPr="00C9564D">
              <w:rPr>
                <w:color w:val="000000" w:themeColor="text1"/>
              </w:rPr>
              <w:t xml:space="preserve"> species (in Chile, Portugal, South Africa), </w:t>
            </w:r>
            <w:r w:rsidRPr="00C9564D">
              <w:rPr>
                <w:i/>
                <w:color w:val="000000" w:themeColor="text1"/>
              </w:rPr>
              <w:t>Cinchona pubescens</w:t>
            </w:r>
            <w:r w:rsidRPr="00C9564D">
              <w:rPr>
                <w:color w:val="000000" w:themeColor="text1"/>
              </w:rPr>
              <w:t xml:space="preserve"> (Galapagos Islands)</w:t>
            </w:r>
            <w:r w:rsidR="00BA28D3" w:rsidRPr="00C9564D">
              <w:rPr>
                <w:color w:val="000000" w:themeColor="text1"/>
              </w:rPr>
              <w:t xml:space="preserve"> </w:t>
            </w:r>
            <w:r w:rsidR="00BA28D3" w:rsidRPr="00C9564D">
              <w:rPr>
                <w:color w:val="000000" w:themeColor="text1"/>
              </w:rPr>
              <w:fldChar w:fldCharType="begin"/>
            </w:r>
            <w:r w:rsidR="00BA28D3" w:rsidRPr="00C9564D">
              <w:rPr>
                <w:color w:val="000000" w:themeColor="text1"/>
              </w:rPr>
              <w:instrText xml:space="preserve"> ADDIN ZOTERO_ITEM CSL_CITATION {"citationID":"h2mZOk9Z","properties":{"formattedCitation":"(J\\uc0\\u228{}ger et al. 2007)","plainCitation":"(Jäger et al. 2007)","noteIndex":0},"citationItems":[{"id":226,"uris":["http://zotero.org/users/6602900/items/PBXY7YQK"],"uri":["http://zotero.org/users/6602900/items/PBXY7YQK"],"itemData":{"id":226,"type":"article-journal","abstract":"Impacts of plant invasions are largely scale-dependent and responses to the same exotic species may vary among communities. Since impacts caused by individual trees could anticipate consequences of a closed canopy of an invader, we studied the response of Galápagos native plants to quinine (Cinchona pubescens) trees in two vegetation zones. Quinine has invaded &gt;11,000ha of Santa Cruz Island, including the Miconia- and Fern-Sedge-Zones. We analysed species composition and abundance along transects radiating from the trunks of individual quinine trees. Species richness and percentage cover decreased significantly with proximity to individual trees, and these effects were more pronounced in the Fern-Sedge Zone than in the Miconia Zone. Cover of endemic and native herb species and grass species significantly declined by 57–88% in the Fern-Sedge Zone. This was not the case in the Miconia Zone, but here the dominant endemic Miconia robinsoniana decreased by 41%. Quinine is a major driver of plant community change in both vegetation zones. The greater susceptibility of species in the Fern-Sedge Zone was ascribed to the presence of a new growth form: quinine trees in a formerly treeless environment. Species of the Miconia Zone appeared to be better pre-adapted to higher shade levels created by the Miconia shrubs. Our results emphasize the need for future control of quinine to preserve the diversity of the native Galápagos flora.","container-title":"Biological Conservation","DOI":"10.1016/j.biocon.2007.08.014","ISSN":"0006-3207","issue":"3","journalAbbreviation":"Biological Conservation","page":"297-307","title":"Tree invasion in naturally treeless environments: Impacts of quinine (Cinchona pubescens) trees on native vegetation in Galápagos","volume":"140","author":[{"family":"Jäger","given":"Heinke"},{"family":"Tye","given":"Alan"},{"family":"Kowarik","given":"Ingo"}],"issued":{"date-parts":[["2007",12,1]]}}}],"schema":"https://github.com/citation-style-language/schema/raw/master/csl-citation.json"} </w:instrText>
            </w:r>
            <w:r w:rsidR="00BA28D3" w:rsidRPr="00C9564D">
              <w:rPr>
                <w:color w:val="000000" w:themeColor="text1"/>
              </w:rPr>
              <w:fldChar w:fldCharType="separate"/>
            </w:r>
            <w:r w:rsidR="00026EED" w:rsidRPr="00026EED">
              <w:t>(Jäger et al. 2007)</w:t>
            </w:r>
            <w:r w:rsidR="00BA28D3" w:rsidRPr="00C9564D">
              <w:rPr>
                <w:color w:val="000000" w:themeColor="text1"/>
              </w:rPr>
              <w:fldChar w:fldCharType="end"/>
            </w:r>
            <w:r w:rsidRPr="00C9564D">
              <w:rPr>
                <w:color w:val="000000" w:themeColor="text1"/>
              </w:rPr>
              <w:t xml:space="preserve">, </w:t>
            </w:r>
            <w:r w:rsidRPr="00C9564D">
              <w:rPr>
                <w:i/>
                <w:color w:val="000000" w:themeColor="text1"/>
              </w:rPr>
              <w:t>Ligustrum robustum</w:t>
            </w:r>
            <w:r w:rsidRPr="00C9564D">
              <w:rPr>
                <w:color w:val="000000" w:themeColor="text1"/>
              </w:rPr>
              <w:t xml:space="preserve"> var. </w:t>
            </w:r>
            <w:r w:rsidRPr="00C9564D">
              <w:rPr>
                <w:i/>
                <w:color w:val="000000" w:themeColor="text1"/>
              </w:rPr>
              <w:t>walkeri</w:t>
            </w:r>
            <w:r w:rsidRPr="00C9564D">
              <w:rPr>
                <w:color w:val="000000" w:themeColor="text1"/>
              </w:rPr>
              <w:t xml:space="preserve"> (La Réunion Island), </w:t>
            </w:r>
            <w:r w:rsidRPr="00C9564D">
              <w:rPr>
                <w:i/>
                <w:color w:val="000000" w:themeColor="text1"/>
              </w:rPr>
              <w:t>Miconia calves</w:t>
            </w:r>
            <w:r w:rsidR="00BA28D3" w:rsidRPr="00C9564D">
              <w:rPr>
                <w:i/>
                <w:color w:val="000000" w:themeColor="text1"/>
              </w:rPr>
              <w:t>c</w:t>
            </w:r>
            <w:r w:rsidRPr="00C9564D">
              <w:rPr>
                <w:i/>
                <w:color w:val="000000" w:themeColor="text1"/>
              </w:rPr>
              <w:t>ens</w:t>
            </w:r>
            <w:r w:rsidRPr="00C9564D">
              <w:rPr>
                <w:color w:val="000000" w:themeColor="text1"/>
              </w:rPr>
              <w:t xml:space="preserve"> (Tahiti</w:t>
            </w:r>
            <w:r w:rsidR="00BA28D3" w:rsidRPr="00C9564D">
              <w:rPr>
                <w:color w:val="000000" w:themeColor="text1"/>
              </w:rPr>
              <w:t>, Hawaii</w:t>
            </w:r>
            <w:r w:rsidRPr="00C9564D">
              <w:rPr>
                <w:color w:val="000000" w:themeColor="text1"/>
              </w:rPr>
              <w:t>)</w:t>
            </w:r>
            <w:r w:rsidR="00BA28D3" w:rsidRPr="00C9564D">
              <w:rPr>
                <w:color w:val="000000" w:themeColor="text1"/>
              </w:rPr>
              <w:t xml:space="preserve"> </w:t>
            </w:r>
            <w:r w:rsidR="00BA28D3" w:rsidRPr="00C9564D">
              <w:rPr>
                <w:color w:val="000000" w:themeColor="text1"/>
              </w:rPr>
              <w:fldChar w:fldCharType="begin"/>
            </w:r>
            <w:r w:rsidR="00BA28D3" w:rsidRPr="00C9564D">
              <w:rPr>
                <w:color w:val="000000" w:themeColor="text1"/>
              </w:rPr>
              <w:instrText xml:space="preserve"> ADDIN ZOTERO_ITEM CSL_CITATION {"citationID":"SCesol7X","properties":{"formattedCitation":"(Meyer 1998; Burnett et al. 2007)","plainCitation":"(Meyer 1998; Burnett et al. 2007)","noteIndex":0},"citationItems":[{"id":691,"uris":["http://zotero.org/users/6602900/items/NA6UTF2N"],"uri":["http://zotero.org/users/6602900/items/NA6UTF2N"],"itemData":{"id":691,"type":"article-journal","abstract":"[Miconia calvescens DC (Melastomataceae) is a dominant invasive species in the tropical oceanic island of Tahiti (French Polynesia, South Pacific Ocean), where it was introduced as an ornamental plant. Whereas this small tree is sparse in its native range of Central America, it has spread in Tahiti into a wide variety of habitats including native wet forests. The remarkable success of this invasion is due in great part to prolific reproduction: a mature tree can bear up to 220 inflorescences with an average of 1330 flowers/inflorescence, 208 fruits/infructescence and 195 seeds/fruit. Two and a half years of phenological observations in a highly invaded site indicated that three major peaks of flowering occur/year over brief periods: flower anthesis lasted a few days and pollen grain germination suggested a short stigmatic receptivity of only a few hours; no pollinators were observed foraging on flowers during our survey; the production of fruits containing viable seeds in bagged inflorescences showed that self-fertilization can occur; pollen-ovule ratio (log P/O = 2.68) suggested facultative xenogamy; bagged isolated flowers to test for autogamy and style cutting to learn whether apomixis occured or not were not conclusive. The flowering phenology and the breeding system of M. calvescens enable this plant to build up rapidly successful populations from even a single propagule on the island of Tahiti and on other sites of introduction. The vegetation structure of Polynesian native forests compared to Neotropical rain forests probably plays an important role in determining the reproductive success of M. calvescens and could provide a complementary explanation of the biological invasion processes in tropical oceanic islands.]","archive":"JSTOR","container-title":"Biotropica","ISSN":"00063606, 17447429","issue":"4","note":"publisher: [Association for Tropical Biology and Conservation, Wiley]","page":"609-624","title":"Observations on the Reproductive Biology of Miconia calvescens DC (Melastomataceae), an Alien Invasive Tree on the Island of Tahiti (South Pacific Ocean)","volume":"30","author":[{"family":"Meyer","given":"Jean-Yves"}],"issued":{"date-parts":[["1998"]]}}},{"id":690,"uris":["http://zotero.org/users/6602900/items/2M75325T"],"uri":["http://zotero.org/users/6602900/items</w:instrText>
            </w:r>
            <w:r w:rsidR="00BA28D3" w:rsidRPr="00E205FC">
              <w:rPr>
                <w:color w:val="000000" w:themeColor="text1"/>
              </w:rPr>
              <w:instrText xml:space="preserve">/2M75325T"],"itemData":{"id":690,"type":"article-journal","abstract":"Once established, invasive species can rapidly and irreversibly alter ecosystems and degrade the value of ecosystem services. Optimal control of an unwanted species solves for a trajectory of removals that minimizes the present value of removal costs and residual damages from the remaining population. The shrubby tree, Miconia calvescens, is used to illustrate dynamic policy options for a forest invader. Potential damages to Hawaii's forest ecosystems are related to decreased aquifer recharge, biodiversity, and other ecosystem values. We find that population reduction is the optimal management policy for the islands of Oahu, Maui, and Hawaii. On the island of Kauai, where tree density is lower and search costs higher, optimal policy calls for deferring removal expenditures until the steady state population is reached.","container-title":"Cost-Benefit Analysis and Forest Policy","DOI":"10.1016/j.jfe.2007.02.007","ISSN":"1104-6899","issue":"2","journalAbbreviation":"Journal of Forest Economics","page":"151-167","title":"Economic lessons from control efforts for an invasive species: Miconia calvescens in Hawaii","volume":"13","author":[{"family":"Burnett","given":"Kimberly"},{"family":"Kaiser","given":"Brooks"},{"family":"Roumasset","given":"James"}],"issued":{"date-parts":[["2007",8,6]]}}}],"schema":"https://github.com/citation-style-language/schema/raw/master/csl-citation.json"} </w:instrText>
            </w:r>
            <w:r w:rsidR="00BA28D3" w:rsidRPr="00C9564D">
              <w:rPr>
                <w:color w:val="000000" w:themeColor="text1"/>
              </w:rPr>
              <w:fldChar w:fldCharType="separate"/>
            </w:r>
            <w:r w:rsidR="00026EED" w:rsidRPr="00026EED">
              <w:t>(Meyer 1998; Burnett et al. 2007)</w:t>
            </w:r>
            <w:r w:rsidR="00BA28D3" w:rsidRPr="00C9564D">
              <w:rPr>
                <w:color w:val="000000" w:themeColor="text1"/>
              </w:rPr>
              <w:fldChar w:fldCharType="end"/>
            </w:r>
            <w:r w:rsidRPr="00E205FC">
              <w:rPr>
                <w:color w:val="000000" w:themeColor="text1"/>
              </w:rPr>
              <w:t xml:space="preserve">, </w:t>
            </w:r>
            <w:r w:rsidRPr="00E205FC">
              <w:rPr>
                <w:i/>
                <w:color w:val="000000" w:themeColor="text1"/>
              </w:rPr>
              <w:t>Mimosa pigra</w:t>
            </w:r>
            <w:r w:rsidRPr="00E205FC">
              <w:rPr>
                <w:color w:val="000000" w:themeColor="text1"/>
              </w:rPr>
              <w:t xml:space="preserve"> (</w:t>
            </w:r>
            <w:r w:rsidR="00BA28D3" w:rsidRPr="00E205FC">
              <w:rPr>
                <w:color w:val="000000" w:themeColor="text1"/>
              </w:rPr>
              <w:t>Northern</w:t>
            </w:r>
            <w:r w:rsidRPr="00E205FC">
              <w:rPr>
                <w:color w:val="000000" w:themeColor="text1"/>
              </w:rPr>
              <w:t xml:space="preserve"> Australia &amp; Zambia)</w:t>
            </w:r>
            <w:r w:rsidR="00BA28D3" w:rsidRPr="00E205FC">
              <w:rPr>
                <w:color w:val="000000" w:themeColor="text1"/>
              </w:rPr>
              <w:t xml:space="preserve"> </w:t>
            </w:r>
            <w:r w:rsidR="00BA28D3" w:rsidRPr="00C9564D">
              <w:rPr>
                <w:color w:val="000000" w:themeColor="text1"/>
              </w:rPr>
              <w:fldChar w:fldCharType="begin"/>
            </w:r>
            <w:r w:rsidR="00BA28D3" w:rsidRPr="00E205FC">
              <w:rPr>
                <w:color w:val="000000" w:themeColor="text1"/>
              </w:rPr>
              <w:instrText xml:space="preserve"> ADDIN ZOTERO_ITEM CSL_CITATION {"citationID":"U5L3TpPS","properties":{"formattedCitation":"(Braithwaite et al. 1989; Lonsdale and Miller 1993)","plainCitation":"(Braithwaite et al. 1989; Lonsdale and Miller 1993)","noteIndex":0},"citationItems":[{"id":693,"uris":["http://zotero.org/users/6602900/items/82U6SM9V"],"uri":["http://zotero.org/users/6602900/items/82U6SM9V"],"itemData":{"id":693,"type":"article-journal","abstract":"In the coastal areas of northern Australia, the introduced shrub Mimosa pigra has been spreading rapidly in native ecosystems during the past decade. An almost monospecific tall shrubland replaces sedgeland initially, then riparian, aquatic, paperback and monsoon forest communities. The flora and fauna of two areas, one infested for about five years and the other for three, were compared with uninfested areas nearby. Although small mammals were more abundant at least in the short term, and frogs seemed little affected, many birds and lizards were lower in abundance. Furthermore, it is likely that the advantage of the new habitat for small mammals is in the form of shelter from avian predation and that this would disappear as the shrubland spreads and removes the foods resources of nearby native habitats. A massive loss of animal and plant species may well occur if the spread of this aggressive weed is not halted.","container-title":"Biological Conservation","DOI":"10.1016/0006-3207(89)90118-3","ISSN":"0006-3207","issue":"3","journalAbbreviation":"Biological Conservation","page":"189-210","title":"Alien vegetation and native biota in tropical Australia: the impact of Mimosa pigra","volume":"48","author":[{"family":"Braithwaite","given":"R.W."},{"family":"Lonsdale","given":"W.M."},{"family":"Estbergs","given":"J.A."}],"issued":{"date-parts":[["1989",1,1]]}}},{"id":692,"uris":["http://zotero.org/users/6602900/items/KX3SP6KP"],"uri":["http://zotero.org/users/6602900/items/KX3SP6KP"],"itemData":{"id":692,"type":"article-journal","abstract":"The use of fire for managing infestations of the invasive tropical shrub Mimosa pigra was investigated in a field experiment and with small-scale fires in containers. In the field experiment, gelled gasoline was applied to thickets of mimosa from a helicopter. When applied in a spiral pattern, the fire became intense and self-propagating, clearing the thicket completely. When applied along a straight line, the fire quickly burnt out and failed to destroy the stand. Seeds exposed to fire in the field, and in containers, died or became germinable. Deaths were most common at the soil surface, while enhanced germination occurred below the surface, down to a depth of 5 cm, but no deeper. Fire may therefore be used, both on small and large scales, to deplete that seed bank of mimosa by killing or germinating a large proportion of the seeds, allowing their simultaneous treatment with herbicides. Because a proportion of seeds may remain at depths greater than 5 cm, however, follow-up control must be practised.","container-title":"Journal of Environmental Management","DOI":"10.1006/jema.1993.1055","ISSN":"0301-4797","issue":"2","journalAbbreviation":"Journal of Environmental Management","page":"77-87","title":"Fire as a Management Tool for a Tropical Woody Weed: Mimosa pigra in Northern Australia","volume":"39","author":[{"family":"Lonsdale","given":"W.M."},{"family":"Miller","given":"I.L."}],"issued":{"date-parts":[["1993",10,1]]}}}],"schema":"https://github.com/citation-style-language/schema/raw/master/csl-citation.json"} </w:instrText>
            </w:r>
            <w:r w:rsidR="00BA28D3" w:rsidRPr="00C9564D">
              <w:rPr>
                <w:color w:val="000000" w:themeColor="text1"/>
              </w:rPr>
              <w:fldChar w:fldCharType="separate"/>
            </w:r>
            <w:r w:rsidR="00026EED" w:rsidRPr="00026EED">
              <w:t>(Braithwaite et al. 1989; Lonsdale and Miller 1993)</w:t>
            </w:r>
            <w:r w:rsidR="00BA28D3" w:rsidRPr="00C9564D">
              <w:rPr>
                <w:color w:val="000000" w:themeColor="text1"/>
              </w:rPr>
              <w:fldChar w:fldCharType="end"/>
            </w:r>
            <w:r w:rsidRPr="00E205FC">
              <w:rPr>
                <w:color w:val="000000" w:themeColor="text1"/>
              </w:rPr>
              <w:t xml:space="preserve">, </w:t>
            </w:r>
            <w:r w:rsidRPr="00E205FC">
              <w:rPr>
                <w:i/>
                <w:color w:val="000000" w:themeColor="text1"/>
              </w:rPr>
              <w:t>Morella faya</w:t>
            </w:r>
            <w:r w:rsidRPr="00E205FC">
              <w:rPr>
                <w:color w:val="000000" w:themeColor="text1"/>
              </w:rPr>
              <w:t xml:space="preserve"> (</w:t>
            </w:r>
            <w:r w:rsidR="007115A1" w:rsidRPr="00E205FC">
              <w:rPr>
                <w:color w:val="000000" w:themeColor="text1"/>
              </w:rPr>
              <w:t xml:space="preserve">Azores, </w:t>
            </w:r>
            <w:r w:rsidRPr="00E205FC">
              <w:rPr>
                <w:color w:val="000000" w:themeColor="text1"/>
              </w:rPr>
              <w:t>Hawaii)</w:t>
            </w:r>
            <w:r w:rsidR="007115A1" w:rsidRPr="00E205FC">
              <w:rPr>
                <w:color w:val="000000" w:themeColor="text1"/>
              </w:rPr>
              <w:t xml:space="preserve"> </w:t>
            </w:r>
            <w:r w:rsidR="007115A1" w:rsidRPr="00E205FC">
              <w:rPr>
                <w:color w:val="000000" w:themeColor="text1"/>
              </w:rPr>
              <w:fldChar w:fldCharType="begin"/>
            </w:r>
            <w:r w:rsidR="007115A1" w:rsidRPr="00E205FC">
              <w:rPr>
                <w:color w:val="000000" w:themeColor="text1"/>
              </w:rPr>
              <w:instrText xml:space="preserve"> ADDIN ZOTERO_ITEM CSL_CITATION {"citationID":"bCWj0azK","properties":{"formattedCitation":"(Costa et al. 2012)","plainCitation":"(Costa et al. 2012)","noteIndex":0},"citationItems":[{"id":694,"uris":["http://zotero.org/users/6602900/items/V6ZF3FTQ"],"uri":["http://zotero.org/users/6602900/items/V6ZF3FTQ"],"itemData":{"id":694,"type":"article-journal","abstract":"Invasive alien species have taken the place of native forest species worldwide, and particularly in island systems like the Azores. Species distribution models could be used to support the design of control strategies, including the definition of target areas. In this study we used species distribution modelling, performed with the ecological-niche factor analysis (ENFA) approach. Pittosporum undulatum is the most widespread woody invader in the Azores where it is considered as one of the priority species for control actions. On the other hand, Morella faya is a native woody plant facing several threats, including plant invasions. This paper aims to evaluate whether and where areas currently occupied by P. undulatum could also be favorable habitat for M. faya, thus providing support for future management actions. Occurrence data on P. undulatum and M. faya from a forest inventory were randomly split into training and testing datasets. Twenty six ecogeographical variables were used together with the training datasets in modelling. The modelling results were validated based on the continuous Boyce curve calculated with the testing datasets. We selected and compared the models of the highest predictive power and robustness for both species to define where M. faya could inhabit areas currently occupied by P. undulatum. The two species have quite similar environmental preferences, which correspond mainly to coastal lowlands and forested habitats characterized by relatively high temperature and wide ranges of low relative humidity values. The main difference between both species is that M. faya was considered more specialized according to current data. M. faya could potentially be used to replace P. undulatum in up to 24% of the Azorean area currently invaded, mostly in São Jorge and Pico Islands. According to our results, the ENFA modelling approach revealed to be a useful tool in the design of more efficient management strategies for woody plant invaders.","container-title":"Forest Ecology and Management","DOI":"10.1016/j.foreco.2012.05.022","ISSN":"0378-1127","journalAbbreviation":"Forest Ecology and Management","page":"90-96","title":"Predicting successful replacement of forest invaders by native species using species distribution models: The case of Pittosporum undulatum and Morella faya in the Azores","volume":"279","author":[{"family":"Costa","given":"Hugo"},{"family":"Aranda","given":"Silvia C."},{"family":"Lourenço","given":"Patrícia"},{"family":"Medeiros","given":"Vasco"},{"family":"Azevedo","given":"Eduardo Brito","dropping-particle":"de"},{"family":"Silva","given":"Luís"}],"issued":{"date-parts":[["2012",9,1]]}}}],"schema":"https://github.com/citation-style-language/schema/raw/master/csl-citation.json"} </w:instrText>
            </w:r>
            <w:r w:rsidR="007115A1" w:rsidRPr="00E205FC">
              <w:rPr>
                <w:color w:val="000000" w:themeColor="text1"/>
              </w:rPr>
              <w:fldChar w:fldCharType="separate"/>
            </w:r>
            <w:r w:rsidR="00026EED" w:rsidRPr="00026EED">
              <w:t>(Costa et al. 2012)</w:t>
            </w:r>
            <w:r w:rsidR="007115A1" w:rsidRPr="00E205FC">
              <w:rPr>
                <w:color w:val="000000" w:themeColor="text1"/>
              </w:rPr>
              <w:fldChar w:fldCharType="end"/>
            </w:r>
            <w:r w:rsidRPr="00E205FC">
              <w:rPr>
                <w:color w:val="000000" w:themeColor="text1"/>
              </w:rPr>
              <w:t xml:space="preserve">, </w:t>
            </w:r>
            <w:r w:rsidRPr="00E205FC">
              <w:rPr>
                <w:i/>
                <w:color w:val="000000" w:themeColor="text1"/>
              </w:rPr>
              <w:t>Pinus pinaster</w:t>
            </w:r>
            <w:r w:rsidRPr="00E205FC">
              <w:rPr>
                <w:color w:val="000000" w:themeColor="text1"/>
              </w:rPr>
              <w:t xml:space="preserve"> (South Africa), </w:t>
            </w:r>
            <w:r w:rsidRPr="00E205FC">
              <w:rPr>
                <w:i/>
                <w:color w:val="000000" w:themeColor="text1"/>
              </w:rPr>
              <w:t>Robinia pseudoacacia</w:t>
            </w:r>
            <w:r w:rsidRPr="00E205FC">
              <w:rPr>
                <w:color w:val="000000" w:themeColor="text1"/>
              </w:rPr>
              <w:t xml:space="preserve"> (temperate and </w:t>
            </w:r>
            <w:r w:rsidRPr="00E205FC">
              <w:t>sub-Mediterranean Europe, temperate Asia and South America, northern and southern Africa, Australia and New Zealand</w:t>
            </w:r>
            <w:r w:rsidR="00BA28D3" w:rsidRPr="00E205FC">
              <w:t>)</w:t>
            </w:r>
            <w:r w:rsidRPr="00E205FC">
              <w:t xml:space="preserve">, </w:t>
            </w:r>
            <w:r w:rsidRPr="00E205FC">
              <w:rPr>
                <w:color w:val="000000" w:themeColor="text1"/>
              </w:rPr>
              <w:t xml:space="preserve">and </w:t>
            </w:r>
            <w:r w:rsidRPr="00E205FC">
              <w:rPr>
                <w:i/>
                <w:color w:val="000000" w:themeColor="text1"/>
              </w:rPr>
              <w:t>Triadica sebifera</w:t>
            </w:r>
            <w:r w:rsidRPr="00E205FC">
              <w:rPr>
                <w:color w:val="000000" w:themeColor="text1"/>
              </w:rPr>
              <w:t xml:space="preserve"> (North America)</w:t>
            </w:r>
            <w:r w:rsidR="007115A1" w:rsidRPr="00E205FC">
              <w:rPr>
                <w:color w:val="000000" w:themeColor="text1"/>
              </w:rPr>
              <w:t xml:space="preserve"> </w:t>
            </w:r>
            <w:r w:rsidR="007115A1" w:rsidRPr="00E205FC">
              <w:rPr>
                <w:color w:val="000000" w:themeColor="text1"/>
              </w:rPr>
              <w:fldChar w:fldCharType="begin"/>
            </w:r>
            <w:r w:rsidR="007115A1" w:rsidRPr="00E205FC">
              <w:rPr>
                <w:color w:val="000000" w:themeColor="text1"/>
              </w:rPr>
              <w:instrText xml:space="preserve"> ADDIN ZOTERO_ITEM CSL_CITATION {"citationID":"wfylpu81","properties":{"formattedCitation":"(Pile et al. 2017a; Pile et al. 2017b)","plainCitation":"(Pile et al. 2017a; Pile et al. 2017b)","noteIndex":0},"citationItems":[{"id":696,"uris":["http://zotero.org/users/6602900/items/WIJVEAAU"],"uri":["http://zotero.org/users/6602900/items/WIJVEAAU"],"itemData":{"id":696,"type":"article-journal","abstract":"Land-use and forest management practices may facilitate the invasion success of non-native plants in forests. In this study, we tested if agricultural land abandonment and subsequent forest management contributed to the invasion success of Chinese tallow (Triadica sebifera (L.) Small) in the maritime forest of Parris Island, SC. We compared the abundance of Chinese tallow between disturbed and remnant forests, described Chinese tallow establishment patterns in relation to forest management activities, and characterized the structure and composition of disturbed and remnant forests in order to better understand relationships between stand characteristics and invasibility as indicated by Chinese tallow abundance. We found that stands in agricultural land use in 1939 but reforested with slash pine (Pinus elliottii Englem.) since the 1970s (i.e., disturbed forests) had significantly more Chinese tallow stems than stands that remained forested since 1939 (i.e., remnant forests). Remnant forests had significantly greater woody species richness and were more variable in species composition and structure than disturbed forests. Disturbed forests were dominated by early successional, shade intolerant species with a denser woody understory, while remnant forests included species associated with late successional habitats. The number of forest management events was positively associated with Chinese tallow abundance, explaining 34% of the total variation in stem density. Chinese tallow individuals commonly established immediately after forest thinning and their numbers increased exponentially through time. Our findings support that Chinese tallow establishment was strongly related to anthropogenic disturbance including historical agricultural land-use and forest management. This suggests that Chinese tallow invasion may be a symptom, rather than the driver, of the ecological degradation induced by persistent human perturbations.","container-title":"Forest Ecology and Management","DOI":"10.1016/j.foreco.2017.05.006","ISSN":"0378-1127","journalAbbreviation":"Forest Ecology and Management","page":"10-24","title":"Chinese tallow (Triadica sebifera) invasion in maritime forests: The role of anthropogenic disturbance and its management implication","volume":"398","author":[{"family":"Pile","given":"Lauren S."},{"family":"Wang","given":"G. Geoff"},{"family":"Knapp","given":"Benjamin O."},{"family":"Walker","given":"Joan L."},{"family":"Stambaugh","given":"Michael C."}],"issued":{"date-parts":[["2017",8,15]]}}},{"id":695,"uris":["http://zotero.org/users/6602900/items/VQ8Y3GZI"],"uri":["http://zotero.org/users/6602900/items/VQ8Y3GZI"],"itemData":{"id":695,"type":"article-journal","abstract":"Ecosystems are under increasing stress from environmental change, including invasion by non-native species that can disrupt ecological processes and functions. Chinese tallow [Triadica sebifera (L.) Small] is a highly invasive tree species in southeastern US forests, prairies, and wetlands, and effectively managing this invasive species is a significant challenge for scientists and land managers. In this review, we synthesize the literature on invasion ecology and management of Chinese tallow. Our review suggests that the invaded range of Chinese tallow is currently limited by dispersal in many areas and by low temperatures and low soil moisture, and by high soil salinity and frequent flooding in others, but these barriers may be overcome by increased dispersal, phenotypic plasticity, and/or rapid evolution. Invasions by Chinese tallow are facilitated by both the invasiveness of the species and the invasibility of the recipient communities. Invasiveness of Chinese tallow has been attributed to fast growth, high fecundity, a persistent seed bank, aggressive resprouting, abiotic stress tolerance, and the ability to transform fire maintained ecosystems. Some of these traits may be enhanced in invasive populations. Anthropogenic and natural disturbances, lack of herbivore pressure, and facilitation by soil microbes enhance the intensity of Chinese tallow invasions. Biological control of Chinese tallow is being developed. Treatments such as herbicides, prescribed fire, and mechanical control can effectively control Chinese tallow at the local scale. A combination of these treatments improves results. However, a proactive management approach would simultaneously achieve invasion control and promote subsequent ecological restoration, especially in the context of legacy effects, secondary invasions, and/or variable ecosystem responses to different control treatments. Future research should clarify the roles of species invasiveness and community invasibility, increase our understanding of the effects of Chinese tallow in invaded communities, and develop viable management regimes that are effective in both controlling or reducing the probability of Chinese tallow invasion and restoring desired native communities.","container-title":"Forest Ecology and Management","DOI":"10.1016/j.foreco.2017.08.023","ISSN":"0378-1127","journalAbbreviation":"Forest Ecology and Management","page":"1-13","title":"Mechanisms of Chinese tallow (Triadica sebifera) invasion and their management implications – A review","volume":"404","author":[{"family":"Pile","given":"Lauren S."},{"family":"Wang","given":"G. Geoff"},{"family":"Stovall","given":"Jeremy P."},{"family":"Siemann","given":"Evan"},{"family":"Wheeler","given":"Gregory S."},{"family":"Gabler","given":"Christopher A."}],"issued":{"date-parts":[["2017",11,15]]}}}],"schema":"https://github.com/citation-style-language/schema/raw/master/csl-citation.json"} </w:instrText>
            </w:r>
            <w:r w:rsidR="007115A1" w:rsidRPr="00E205FC">
              <w:rPr>
                <w:color w:val="000000" w:themeColor="text1"/>
              </w:rPr>
              <w:fldChar w:fldCharType="separate"/>
            </w:r>
            <w:r w:rsidR="00026EED" w:rsidRPr="00026EED">
              <w:t>(Pile et al. 2017a; Pile et al. 2017b)</w:t>
            </w:r>
            <w:r w:rsidR="007115A1" w:rsidRPr="00E205FC">
              <w:rPr>
                <w:color w:val="000000" w:themeColor="text1"/>
              </w:rPr>
              <w:fldChar w:fldCharType="end"/>
            </w:r>
            <w:r w:rsidRPr="00E205FC">
              <w:rPr>
                <w:color w:val="000000" w:themeColor="text1"/>
              </w:rPr>
              <w:t>.</w:t>
            </w:r>
          </w:p>
        </w:tc>
      </w:tr>
      <w:tr w:rsidR="00830EE5" w:rsidRPr="00C9564D" w14:paraId="4B31E70A" w14:textId="77777777" w:rsidTr="00830EE5">
        <w:tc>
          <w:tcPr>
            <w:tcW w:w="1798" w:type="dxa"/>
          </w:tcPr>
          <w:p w14:paraId="2D2AF6BF" w14:textId="77777777" w:rsidR="00830EE5" w:rsidRPr="00C9564D" w:rsidRDefault="00830EE5" w:rsidP="00D06125">
            <w:pPr>
              <w:spacing w:before="120" w:after="120"/>
              <w:rPr>
                <w:b/>
                <w:bCs/>
                <w:color w:val="000000" w:themeColor="text1"/>
              </w:rPr>
            </w:pPr>
            <w:r w:rsidRPr="00C9564D">
              <w:rPr>
                <w:b/>
                <w:bCs/>
                <w:color w:val="000000" w:themeColor="text1"/>
              </w:rPr>
              <w:t>Exploiters</w:t>
            </w:r>
          </w:p>
        </w:tc>
        <w:tc>
          <w:tcPr>
            <w:tcW w:w="1887" w:type="dxa"/>
          </w:tcPr>
          <w:p w14:paraId="7A12F1C9" w14:textId="70A79B89" w:rsidR="00830EE5" w:rsidRPr="00C9564D" w:rsidRDefault="00830EE5" w:rsidP="00D06125">
            <w:pPr>
              <w:spacing w:before="120" w:after="120"/>
              <w:rPr>
                <w:bCs/>
                <w:color w:val="000000" w:themeColor="text1"/>
              </w:rPr>
            </w:pPr>
            <w:r w:rsidRPr="00C9564D">
              <w:rPr>
                <w:bCs/>
                <w:color w:val="000000" w:themeColor="text1"/>
              </w:rPr>
              <w:t>(1) Competition</w:t>
            </w:r>
          </w:p>
        </w:tc>
        <w:tc>
          <w:tcPr>
            <w:tcW w:w="10710" w:type="dxa"/>
          </w:tcPr>
          <w:p w14:paraId="59E89891" w14:textId="2E22A266" w:rsidR="00830EE5" w:rsidRPr="00C9564D" w:rsidRDefault="00830EE5" w:rsidP="00571671">
            <w:pPr>
              <w:spacing w:before="120" w:after="120"/>
              <w:jc w:val="both"/>
              <w:rPr>
                <w:color w:val="000000" w:themeColor="text1"/>
              </w:rPr>
            </w:pPr>
            <w:r w:rsidRPr="00C9564D">
              <w:rPr>
                <w:bCs/>
                <w:color w:val="000000" w:themeColor="text1"/>
              </w:rPr>
              <w:t>Excessive users of resources</w:t>
            </w:r>
            <w:r w:rsidR="007115A1" w:rsidRPr="00C9564D">
              <w:rPr>
                <w:bCs/>
                <w:color w:val="000000" w:themeColor="text1"/>
              </w:rPr>
              <w:t>.</w:t>
            </w:r>
            <w:r w:rsidRPr="00C9564D">
              <w:rPr>
                <w:color w:val="000000" w:themeColor="text1"/>
              </w:rPr>
              <w:t xml:space="preserve"> Prominent examples are </w:t>
            </w:r>
            <w:r w:rsidRPr="00C9564D">
              <w:rPr>
                <w:i/>
                <w:color w:val="000000" w:themeColor="text1"/>
              </w:rPr>
              <w:t>Tamarix</w:t>
            </w:r>
            <w:r w:rsidRPr="00C9564D">
              <w:rPr>
                <w:color w:val="000000" w:themeColor="text1"/>
              </w:rPr>
              <w:t xml:space="preserve"> sp</w:t>
            </w:r>
            <w:r w:rsidR="00891941" w:rsidRPr="00C9564D">
              <w:rPr>
                <w:color w:val="000000" w:themeColor="text1"/>
              </w:rPr>
              <w:t xml:space="preserve">. </w:t>
            </w:r>
            <w:r w:rsidRPr="00C9564D">
              <w:rPr>
                <w:color w:val="000000" w:themeColor="text1"/>
              </w:rPr>
              <w:t>p</w:t>
            </w:r>
            <w:r w:rsidR="00891941" w:rsidRPr="00C9564D">
              <w:rPr>
                <w:color w:val="000000" w:themeColor="text1"/>
              </w:rPr>
              <w:t>l</w:t>
            </w:r>
            <w:r w:rsidRPr="00C9564D">
              <w:rPr>
                <w:color w:val="000000" w:themeColor="text1"/>
              </w:rPr>
              <w:t>.</w:t>
            </w:r>
            <w:r w:rsidRPr="00C9564D">
              <w:rPr>
                <w:rStyle w:val="FootnoteReference"/>
              </w:rPr>
              <w:footnoteReference w:id="2"/>
            </w:r>
            <w:r w:rsidRPr="00C9564D">
              <w:rPr>
                <w:color w:val="000000" w:themeColor="text1"/>
              </w:rPr>
              <w:t xml:space="preserve"> in North America </w:t>
            </w:r>
            <w:r w:rsidR="005F1F35" w:rsidRPr="00C9564D">
              <w:rPr>
                <w:color w:val="000000" w:themeColor="text1"/>
              </w:rPr>
              <w:fldChar w:fldCharType="begin"/>
            </w:r>
            <w:r w:rsidR="005F1F35" w:rsidRPr="00C9564D">
              <w:rPr>
                <w:color w:val="000000" w:themeColor="text1"/>
              </w:rPr>
              <w:instrText xml:space="preserve"> ADDIN ZOTERO_ITEM CSL_CITATION {"citationID":"TMPO9BJk","properties":{"formattedCitation":"(Stromberg et al. 2010)","plainCitation":"(Stromberg et al. 2010)","noteIndex":0},"citationItems":[{"id":662,"uris":["http://zotero.org/users/6602900/items/TAD3KVC2"],"uri":["http://zotero.org/users/6602900/items/TAD3KVC2"],"itemData":{"id":662,"type":"article-journal","abstract":"Populus–Salix forests are a valued riparian vegetation type in western North America. These pioneer, obligate phreatophytes have declined on some rivers, raising conservation concerns and stimulating restoration plantings, but have increased on others. Understanding patterns and causes of forest change is essential for formulating conservation, restoration and management plans. Our goal was to assess spatio-temporal patterns of vegetation change on the Upper San Pedro River in semiarid Arizona, USA, one of the few undammed rivers in the region. Over 100 years ago, intense floods initiated channel incision and substantially altered hydrogeomorphology. Pioneer trees began to establish in the widening post-entrenchment zone as the surfaces began to stabilize. Using a time-series of aerial photographs (1955–2003) we quantified recent change in area of riparian cover types. Analysis indicated that wooded area in the post-entrenchment zone nearly tripled from 1955 to 2003, at the expense of bare ground, and the active channel narrowed appreciably. This forest expansion represents a long-term response to river entrenchment, with the temporal pattern influenced by recent flood cycles and biogeomorphic feedbacks. Populus–Salix have established episodically during the infrequent years with high winter flood runoff, sequentially filling available recruitment space. Older cohorts cover wide swaths of the floodplain while young trees form narrow bands lining the channel. Barring extreme flooding, the pioneer forests are expected to senesce over the coming century. An additional factor that has shaped the pattern of post-entrenchment forest expansion is anthropogenic water withdrawal. Populus–Salix forest increase has been greatest within a conservation area, where stream flows are largely perennial. In drier, agricultural sectors, Populus–Salix have declined while the more deeply-rooted Tamarix has increased. Overall, the study reveals that long-term fluctuations in pioneer forest area and age structure are common on dryland rivers, and shows how past events such as extreme floods can interact with recent environmental practices such as freshwater withdrawal to influence riparian forest patterns. This underscores the necessity of a long-term perspective for forest conservation and management.","container-title":"Forest Ecology and Management","DOI":"10.1016/j.foreco.2010.01.005","ISSN":"0378-1127","issue":"6","journalAbbreviation":"Forest Ecology and Management","page":"1181-1189","title":"A century of riparian forest expansion following extreme disturbance: Spatio-temporal change in Populus/Salix/Tamarix forests along the Upper San Pedro River, Arizona, USA","volume":"259","author":[{"family":"Stromberg","given":"Juliet C."},{"family":"Tluczek","given":"Melanie G.F."},{"family":"Hazelton","given":"Andrea F."},{"family":"Ajami","given":"Hoori"}],"issued":{"date-parts":[["2010",3,1]]}}}],"schema":"https://github.com/citation-style-language/schema/raw/master/csl-citation.json"} </w:instrText>
            </w:r>
            <w:r w:rsidR="005F1F35" w:rsidRPr="00C9564D">
              <w:rPr>
                <w:color w:val="000000" w:themeColor="text1"/>
              </w:rPr>
              <w:fldChar w:fldCharType="separate"/>
            </w:r>
            <w:r w:rsidR="00026EED" w:rsidRPr="00026EED">
              <w:t>(Stromberg et al. 2010)</w:t>
            </w:r>
            <w:r w:rsidR="005F1F35" w:rsidRPr="00C9564D">
              <w:rPr>
                <w:color w:val="000000" w:themeColor="text1"/>
              </w:rPr>
              <w:fldChar w:fldCharType="end"/>
            </w:r>
            <w:r w:rsidRPr="00C9564D">
              <w:rPr>
                <w:color w:val="000000" w:themeColor="text1"/>
              </w:rPr>
              <w:t xml:space="preserve"> and </w:t>
            </w:r>
            <w:r w:rsidRPr="00C9564D">
              <w:rPr>
                <w:i/>
                <w:color w:val="000000" w:themeColor="text1"/>
              </w:rPr>
              <w:t>Acacia</w:t>
            </w:r>
            <w:r w:rsidRPr="00C9564D">
              <w:rPr>
                <w:color w:val="000000" w:themeColor="text1"/>
              </w:rPr>
              <w:t xml:space="preserve"> species, notably </w:t>
            </w:r>
            <w:r w:rsidRPr="00C9564D">
              <w:rPr>
                <w:i/>
                <w:color w:val="000000" w:themeColor="text1"/>
              </w:rPr>
              <w:t>A. mearnsii</w:t>
            </w:r>
            <w:r w:rsidRPr="00C9564D">
              <w:rPr>
                <w:color w:val="000000" w:themeColor="text1"/>
              </w:rPr>
              <w:t xml:space="preserve">, in South Africa </w:t>
            </w:r>
            <w:r w:rsidR="00633532" w:rsidRPr="00C9564D">
              <w:rPr>
                <w:color w:val="000000" w:themeColor="text1"/>
              </w:rPr>
              <w:fldChar w:fldCharType="begin"/>
            </w:r>
            <w:r w:rsidR="00633532" w:rsidRPr="00C9564D">
              <w:rPr>
                <w:color w:val="000000" w:themeColor="text1"/>
              </w:rPr>
              <w:instrText xml:space="preserve"> ADDIN ZOTERO_ITEM CSL_CITATION {"citationID":"RixfU05i","properties":{"formattedCitation":"(Dye and Jarmain 2004; Crous et al. 2012)","plainCitation":"(Dye and Jarmain 2004; Crous et al. 2012)","noteIndex":0},"citationItems":[{"id":623,"uris":["http://zotero.org/users/6602900/items/MMM85XLQ"],"uri":["http://zotero.org/users/6602900/items/MMM85XLQ"],"itemData":{"id":623,"type":"article-journal","container-title":"South African Journal of Science","ISSN":"0038-2353","issue":"1","journalAbbreviation":"South African Journal of Science","note":"publisher: Sabinet","page":"40-44","title":"Water use by black wattle (Acacia mearnsii): implications for the link between removal of invading trees and catchment streamflow response: working for water","volume":"100","author":[{"family":"Dye","given":"Peter"},{"family":"Jarmain","given":"Caren"}],"issued":{"date-parts":[["2004"]]}}},{"id":702,"uris":["http://zotero.org/users/6602900/items/YP7HFA32"],"uri":["http://zotero.org/users/6602900/items/YP7HFA32"],"itemData":{"id":702,"type":"article-journal","abstract":"Riparian ecotones in the fynbos biome of South Africa are heavily invaded by woody invasive alien species, which are known to reduce water supply to downstream environments. To explore whether variation in species-specific functional traits pertaining to drought-tolerance exist, we investigated wood anatomical traits of key native riparian species and the invasive Acacia mearnsii across different water availability proxies. Wood density, vessel resistance against implosion, vessel lumen diameter and vessel wall thickness were measured. Wood density varied significantly between species, with A. mearnsii having denser wood at sites in rivers with high discharge. As higher wood density is indicative of increased drought tolerance and typical of drier sites, this counter-intuitive finding suggests that increased wood density was more closely related to midday water stress, than streamflow quantity per se. Wood density was positively correlated with vessel resistance against implosion. Higher wood density may also be evidence that A. mearnsii is more resistant against drought-induced cavitation than the studied native species. The observed plastic response of A. mearnsii anatomical traits to variable water availability indicates the ability of this species to persist under various environmental conditions. A possible non-causal relationship between wood anatomy and drought tolerance in these riparian systems is discussed.","container-title":"Trees","DOI":"10.1007/s00468-012-0726-3","ISSN":"1432-2285","issue":"5","journalAbbreviation":"Trees","page":"1527-1536","title":"Wood anatomical traits as a measure of plant responses to water availability: invasive Acacia mearnsii De Wild. compared with native tree species in fynbos riparian ecotones, South Africa","volume":"26","author":[{"family":"Crous","given":"Casparus J."},{"family":"Jacobs","given":"Shayne M."},{"family":"Esler","given":"Karen J."}],"issued":{"date-parts":[["2012",10,1]]}}}],"schema":"https://github.com/citation-style-language/schema/raw/master/csl-citation.json"} </w:instrText>
            </w:r>
            <w:r w:rsidR="00633532" w:rsidRPr="00C9564D">
              <w:rPr>
                <w:color w:val="000000" w:themeColor="text1"/>
              </w:rPr>
              <w:fldChar w:fldCharType="separate"/>
            </w:r>
            <w:r w:rsidR="00026EED" w:rsidRPr="00026EED">
              <w:t>(Dye and Jarmain 2004; Crous et al. 2012)</w:t>
            </w:r>
            <w:r w:rsidR="00633532" w:rsidRPr="00C9564D">
              <w:rPr>
                <w:color w:val="000000" w:themeColor="text1"/>
              </w:rPr>
              <w:fldChar w:fldCharType="end"/>
            </w:r>
            <w:r w:rsidRPr="00C9564D">
              <w:rPr>
                <w:color w:val="000000" w:themeColor="text1"/>
              </w:rPr>
              <w:t xml:space="preserve"> and in Sardinia (Italy).</w:t>
            </w:r>
          </w:p>
        </w:tc>
      </w:tr>
      <w:tr w:rsidR="00830EE5" w:rsidRPr="005A3C23" w14:paraId="2FC7C017" w14:textId="77777777" w:rsidTr="00830EE5">
        <w:tc>
          <w:tcPr>
            <w:tcW w:w="1798" w:type="dxa"/>
          </w:tcPr>
          <w:p w14:paraId="547947D8" w14:textId="77777777" w:rsidR="00830EE5" w:rsidRPr="00C9564D" w:rsidRDefault="00830EE5" w:rsidP="00D06125">
            <w:pPr>
              <w:spacing w:before="120" w:after="120"/>
              <w:rPr>
                <w:b/>
                <w:bCs/>
                <w:color w:val="000000" w:themeColor="text1"/>
              </w:rPr>
            </w:pPr>
            <w:r w:rsidRPr="00C9564D">
              <w:rPr>
                <w:b/>
                <w:color w:val="000000" w:themeColor="text1"/>
              </w:rPr>
              <w:lastRenderedPageBreak/>
              <w:t>Donors of limiting resources</w:t>
            </w:r>
          </w:p>
        </w:tc>
        <w:tc>
          <w:tcPr>
            <w:tcW w:w="1887" w:type="dxa"/>
          </w:tcPr>
          <w:p w14:paraId="011532C4" w14:textId="14438453" w:rsidR="00830EE5" w:rsidRPr="00C9564D" w:rsidRDefault="00830EE5" w:rsidP="00D06125">
            <w:pPr>
              <w:spacing w:before="120" w:after="120"/>
              <w:rPr>
                <w:bCs/>
                <w:color w:val="000000" w:themeColor="text1"/>
              </w:rPr>
            </w:pPr>
            <w:r w:rsidRPr="00C9564D">
              <w:rPr>
                <w:color w:val="000000" w:themeColor="text1"/>
              </w:rPr>
              <w:t>(9) Chemical impact on ecosystem</w:t>
            </w:r>
          </w:p>
        </w:tc>
        <w:tc>
          <w:tcPr>
            <w:tcW w:w="10710" w:type="dxa"/>
          </w:tcPr>
          <w:p w14:paraId="6A2F3316" w14:textId="18AC4E8E" w:rsidR="00830EE5" w:rsidRPr="003B2822" w:rsidRDefault="00830EE5" w:rsidP="00571671">
            <w:pPr>
              <w:spacing w:before="120" w:after="120"/>
              <w:jc w:val="both"/>
              <w:rPr>
                <w:color w:val="000000" w:themeColor="text1"/>
                <w:lang w:val="it-IT"/>
              </w:rPr>
            </w:pPr>
            <w:r w:rsidRPr="00C9564D">
              <w:rPr>
                <w:color w:val="000000" w:themeColor="text1"/>
              </w:rPr>
              <w:t xml:space="preserve">Well-studied examples are </w:t>
            </w:r>
            <w:r w:rsidRPr="00C9564D">
              <w:rPr>
                <w:i/>
                <w:color w:val="000000" w:themeColor="text1"/>
              </w:rPr>
              <w:t>Morella faya</w:t>
            </w:r>
            <w:r w:rsidRPr="00C9564D">
              <w:rPr>
                <w:color w:val="000000" w:themeColor="text1"/>
              </w:rPr>
              <w:t xml:space="preserve"> which doubles canopy nitrogen as it replaces native forest species in Hawaii</w:t>
            </w:r>
            <w:r w:rsidR="00633532" w:rsidRPr="00C9564D">
              <w:rPr>
                <w:color w:val="000000" w:themeColor="text1"/>
              </w:rPr>
              <w:t xml:space="preserve"> </w:t>
            </w:r>
            <w:r w:rsidR="00633532" w:rsidRPr="00C9564D">
              <w:rPr>
                <w:color w:val="000000" w:themeColor="text1"/>
              </w:rPr>
              <w:fldChar w:fldCharType="begin"/>
            </w:r>
            <w:r w:rsidR="00633532" w:rsidRPr="00C9564D">
              <w:rPr>
                <w:color w:val="000000" w:themeColor="text1"/>
              </w:rPr>
              <w:instrText xml:space="preserve"> ADDIN ZOTERO_ITEM CSL_CITATION {"citationID":"9sy2EYbM","properties":{"formattedCitation":"(Asner et al. 2010)","plainCitation":"(Asner et al. 2010)","noteIndex":0},"citationItems":[{"id":703,"uris":["http://zotero.org/users/6602900/items/JVI47J9I"],"uri":["http://zotero.org/users/6602900/items/JVI47J9I"],"itemData":{"id":703,"type":"article-journal","abstract":"The negative effects of biological invasion are often the focus of ecological studies, but few have considered potential positive impacts, such as increased carbon storage, resulting from invasion. We combined airborne imaging spectrometer and LiDAR (light detection and ranging) observations with field measurements to assess if the highly invasive nitrogen-fixing tree Morella faya alters canopy 3-D structure and aboveground biomass (AGB) along a 1,500 mm precipitation gradient in Hawaii. Airborne analysis of canopy water content, leaf nitrogen concentration, fractional canopy cover, and vegetation height facilitated mapping of native- and Morella-dominated canopies in rainforest, woodland–savanna and shrubland ecosystems, with Morella detection errors ranging from 0 to 13.4%. Allometric equations were developed to relate the combined LiDAR and spectral data to field-based AGB estimates (r2 = 0.97, P &lt; 0.01), and to produce a map of biomass stocks throughout native and invaded ecosystems. The structure of the invasive Morella canopies varied by ecosystem type, and the invader shaded out native understory plants in rainforest zones. Despite a 350% increase in AGB going from shrubland to rainforest, Morella did not increase average AGB in any ecosystem it invaded. Furthermore, spatial distributions of biomass indicated that Morella decreased maximum AGB in the woodland–savanna ecosystems. We conclude that Morella tree invasion does not enhance aboveground carbon stocks in any ecosystem it invades in Hawaii, thereby minimizing its contribution to this potentially important ecosystem service. We also found that the fusion of spectral and LiDAR remote sensing provided canopy chemical and structural data facilitating a landscape assessment of how biological invasion alters on carbon stocks and other ecosystem properties.","container-title":"Biological Invasions","DOI":"10.1007/s10530-009-9452-1","ISSN":"1573-1464","issue":"3","journalAbbreviation":"Biological Invasions","page":"477-494","title":"Effects of Morella faya tree invasion on aboveground carbon storage in Hawaii","volume":"12","author":[{"family":"Asner","given":"Gregory P."},{"family":"Martin","given":"Roberta E."},{"family":"Knapp","given":"David E."},{"family":"Kennedy-Bowdoin","given":"Ty"}],"issued":{"date-parts":[["2010",3,1]]}}}],"schema":"https://github.com/citation-style-language/schema/raw/master/csl-citation.json"} </w:instrText>
            </w:r>
            <w:r w:rsidR="00633532" w:rsidRPr="00C9564D">
              <w:rPr>
                <w:color w:val="000000" w:themeColor="text1"/>
              </w:rPr>
              <w:fldChar w:fldCharType="separate"/>
            </w:r>
            <w:r w:rsidR="00026EED" w:rsidRPr="00026EED">
              <w:t>(Asner et al. 2010)</w:t>
            </w:r>
            <w:r w:rsidR="00633532" w:rsidRPr="00C9564D">
              <w:rPr>
                <w:color w:val="000000" w:themeColor="text1"/>
              </w:rPr>
              <w:fldChar w:fldCharType="end"/>
            </w:r>
            <w:r w:rsidRPr="00C9564D">
              <w:rPr>
                <w:color w:val="000000" w:themeColor="text1"/>
              </w:rPr>
              <w:t xml:space="preserve">, Australian </w:t>
            </w:r>
            <w:r w:rsidRPr="00C9564D">
              <w:rPr>
                <w:i/>
                <w:color w:val="000000" w:themeColor="text1"/>
              </w:rPr>
              <w:t>Acacia</w:t>
            </w:r>
            <w:r w:rsidRPr="00C9564D">
              <w:rPr>
                <w:color w:val="000000" w:themeColor="text1"/>
              </w:rPr>
              <w:t xml:space="preserve"> species in South Africa and in the Mediterranean, and </w:t>
            </w:r>
            <w:r w:rsidRPr="00C9564D">
              <w:rPr>
                <w:i/>
                <w:color w:val="000000" w:themeColor="text1"/>
              </w:rPr>
              <w:t>R</w:t>
            </w:r>
            <w:r w:rsidR="003D56F5" w:rsidRPr="00C9564D">
              <w:rPr>
                <w:i/>
                <w:color w:val="000000" w:themeColor="text1"/>
              </w:rPr>
              <w:t>obinia</w:t>
            </w:r>
            <w:r w:rsidRPr="00C9564D">
              <w:rPr>
                <w:i/>
                <w:color w:val="000000" w:themeColor="text1"/>
              </w:rPr>
              <w:t xml:space="preserve"> pseudoacacia </w:t>
            </w:r>
            <w:r w:rsidR="001E50DF" w:rsidRPr="00C9564D">
              <w:rPr>
                <w:i/>
                <w:color w:val="000000" w:themeColor="text1"/>
              </w:rPr>
              <w:fldChar w:fldCharType="begin"/>
            </w:r>
            <w:r w:rsidR="00E0770A" w:rsidRPr="00C9564D">
              <w:rPr>
                <w:i/>
                <w:color w:val="000000" w:themeColor="text1"/>
              </w:rPr>
              <w:instrText xml:space="preserve"> ADDIN ZOTERO_ITEM CSL_CITATION {"citationID":"Yk0MjROW","properties":{"formattedCitation":"(Sitzia et al. 2012; Cierjacks et al. 2013; Campagnaro et al. 2018; V\\uc0\\u237{}tkov\\uc0\\u225{} et al. 2020)","plainCitation":"(Sitzia et al. 2012; Cierjacks et al. 2013; Campagnaro et al. 2018; Vítková et al. 2020)","dontUpdate":true,"noteIndex":0},"citationItems":[{"id":215,"uris":["http://zotero.org/users/6602900/items/69CMA7RL"],"uri":["http://zotero.org/users/6602900/items/69CMA7RL"],"itemData":{"id":215,"type":"article-journal","abstract":"Black locust (Robinia pseudoacacia L.) is a widespread alien tree species commonly thought to influence plant assemblages. The aim of this study was to compare the plant diversity between black locust and native recent secondary stands within the European Mediterranean Mountains environmental zone. Spontaneous reforestation was detected by comparing historical aerial photographs and the most recent images. Distributed throughout a 2700km2 hilly and piedmont area, 32 black locust and 32 paired native stands were selected and all vascular plant species were surveyed in a 100m2 area. Analyses of the α and β-diversity were performed separately for six identified plant groups. Despite a clear difference in the tree diversity between the black locust and native recent secondary stands and a homogenisation of the tree layer by the black locust stands, we found only inconsistent hints for homogenisation of the ground-layer vegetation by the black locust stands. There is no evidence to suggest that the presence of black locust in recent secondary stands plays a major role in shaping the diversity of the understory plant groups compared to native stands.","container-title":"Forest Ecology and Management","DOI":"10.1016/j.foreco.2012.08.016","ISSN":"0378-1127","journalAbbreviation":"Forest Ecology and Management","page":"85-91","title":"Plant species diversity in alien black locust stands: A paired comparison with native stands across a north-Mediterranean range expansion","volume":"285","author":[{"family":"Sitzia","given":"Tommaso"},{"family":"Campagnaro","given":"Thomas"},{"family":"Dainese","given":"Matteo"},{"family":"Cierjacks","given":"Arne"}],"issued":{"date-parts":[["2012",12,1]]}}},{"id":704,"uris":["http://zotero.org/users/6602900/items/4ZBY4S2F"],"uri":["http://zotero.org/users/6602900/items/4ZBY4S2F"],"itemData":{"id":704,"type":"article-journal","abstract":"Summary This account presents information on all aspects of the biology of Robinia pseudoacacia L.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and history and conservation. Robinia pseudoacacia, false acacia or black locust, is a deciduous, broad-leaved tree native to North America. The medium-sized, fast-growing tree is armed with spines, and extensively suckering. It has become naturalized in grassland, semi-natural woodlands and urban habitats. The tree is common in the south of the British Isles and in many other regions of Europe. Robinia pseudoacacia is a light-demanding pioneer species, which occurs primarily in disturbed sites on fertile to poor soils. The tree does not tolerate wet or compacted soils. In contrast to its native range, where it rapidly colonizes forest gaps and is replaced after 15?30 years by more competitive tree species, populations in the secondary range can persist for a longer time, probably due to release from natural enemies. Robinia pseudoacacia reproduces sexually, and asexually by underground runners. Disturbance favours clonal growth and leads to an increase in the number of ramets. Mechanical stem damage and fires also lead to increased clonal recruitment. The tree benefits from di-nitrogen fixation associated with symbiotic rhizobia in root nodules. Estimated symbiotic nitrogen fixation rates range widely from 23 to 300 kg ha?1 year?1. The nitrogen becomes available to other plants mainly by the rapid decay of nitrogen-rich leaves. Robinia pseudoacacia is host to a wide range of fungi both in the native and introduced ranges. Megaherbivores are of minor significance in Europe but browsing by ungulates occurs in the native range. Among insects, the North American black locust gall midge (Obolodiplosis robiniae) is specific to Robinia and is spreading rapidly throughout Europe. In parts of Europe, Robinia pseudoacacia is considered an invasive non-indigenous plant and the tree is controlled. Negative impacts include shading and changes of soil conditions as a result of nitrogen fixation.","container-title":"Journal of Ecology","DOI":"10.1111/1365-2745.12162","ISSN":"0022-0477","issue":"6","journalAbbreviation":"Journal of Ecology","note":"publisher: John Wiley &amp; Sons, Ltd","page":"1623-1640","title":"Biological Flora of the British Isles: Robinia pseudoacacia","volume":"101","author":[{"family":"Cierjacks","given":"Arne"},{"family":"Kowarik","given":"Ingo"},{"family":"Joshi","given":"Jasmin"},{"family":"Hempel","given":"Stefan"},{"family":"Ristow","given":"Michael"},{"family":"Lippe","given":"Moritz","non-dropping-particle":"von der"},{"family":"Weber","given":"Ewald"}],"issued":{"date-parts":[["2013",11,1]]}}},{"id":205,"uris":["http://zotero.org/users/6602900/items/DCD46GSZ"],"uri":["http://zotero.org/users/6602900/items/DCD46GSZ"],"itemData":{"id":205,"type":"article-journal","abstract":"Invasive alien species are a threat to protected areas, species, and habitats worldwide. At the European level, the control of invasive alien species is a major goal of the EU Biodiversity Strategy, and a cornerstone, in this sense, is the Regulation (EU) no.1143/2014 on invasive alien species. In this study, we focus on the Alpine and Continental biogeographical regions of Europe (defined in art. 1 of the Habitats Directive; 92/43/EEC), and aim to give an overview of the main protected forest habitat types threatened by invasive alien species, and focus on five major invasive alien tree species (Acer negundo, Ailanthus altissima, Prunus serotina, Quercus rubra, and Robinia pseudoacacia). We considered the assessment reports under Article 17 of the Habitats Directive for the period 2007–2012, and six documents on the interpretation of habitats, to identify those most threatened by invasive alien species and in particular by the five invasive alien trees. We also assessed selected examples of impacts by these alien tree species on different species groups within Natura 2000 sites to highlight potential effects on biodiversity. Riparian forest habitats and oak dominated woodlands are among the most prone to invasion within the two biogeographical regions. A. altissima and R. pseudoacacia are the most reported invasive alien trees in these protected forest habitat types. Furthermore, examples of the impacts of these tree species have indicated potential detrimental effects on forest habitats structure and functions, and on single species listed in the Habitats and Birds Directives. In conclusion, we emphasise the need for effective management and systematic monitoring of these five invasive alien tree species within Natura 2000 sites.","container-title":"Journal for Nature Conservation","DOI":"10.1016/j.jnc.2017.07.007","ISSN":"1617-1381","journalAbbreviation":"Journal for Nature Conservation","page":"227-238","title":"Five major invasive alien tree species in European Union forest habitat types of the Alpine and Continental biogeographical regions","volume":"43","author":[{"family":"Campagnaro","given":"Thomas"},{"family":"Brundu","given":"Giuseppe"},{"family":"Sitzia","given":"Tommaso"}],"issued":{"date-parts":[["2018",6,1]]}}},{"id":194,"uris":["http://zotero.org/users/6602900/items/UWI5DUD7"],"uri":["http://zotero.org/users/6602900/items/UWI5DUD7"],"itemData":{"id":194,"type":"article-journal","abstract":"Knowledge of the species composition of invaded vegetation helps to evaluate an ecological impact of aliens and design an optimal management strategy. We link a new vegetation analysis of a large dataset to the invasion history, ecology and management of Robinia pseudoacacia stands across Southern Europe and provide a map illustrating Robinia distribution. Finally, we compare detected relationships with Central Europe. We show that regional differences in Robinia invasion, distribution, habitats and management are driven both by local natural conditions (climate and soil properties, low competitive ability with native trees) and socioeconomic factors (traditional land-use). Based on the classification of 467 phytosociological relevés we distinguished five broad vegetation types reflecting an oceanity−continentality gradient. The stands were heterogeneous and included 824 taxa, with only 5.8% occurring in more than 10% of samples, representing mainly hemerobic generalists of</w:instrText>
            </w:r>
            <w:r w:rsidR="00E0770A" w:rsidRPr="003B2822">
              <w:rPr>
                <w:i/>
                <w:color w:val="000000" w:themeColor="text1"/>
                <w:lang w:val="it-IT"/>
              </w:rPr>
              <w:instrText xml:space="preserve"> mesophilous, nutrient-rich and semi-shady habitats. The most common were dry ruderal stands invading human-made habitats. Among native communities, disturbed mesic and alluvial forests were often invaded throughout the area, while dry forests and scrub dominated in Balkan countries. Continuous, long-term and large-scale cultivation represent a crucial factor driving Robinia invasions in natural habitats. Its invasion should be mitigated by suitable management taking into account adjacent habitats and changing cultivation practices to select for native species. Robinia invasion has a comparable pattern in Central and Southern Europe, but there is a substantial difference in management and utilization causing heterogeneity of many South-European stands.","container-title":"Science of The Total Environment","DOI":"10.1016/j.scitotenv.2019.134857","ISSN":"0048-9697","journalAbbreviation":"Science of The Total Environment","page":"134857","title":"Robinia pseudoacacia-dominated vegetation types of Southern Europe: Species composition, history, distribution and management","volume":"707","author":[{"family":"Vítková","given":"Michaela"},{"family":"Sádlo","given":"Jiří"},{"family":"Roleček","given":"Jan"},{"family":"Petřík","given":"Petr"},{"family":"Sitzia","given":"Tommaso"},{"family":"Müllerová","given":"Jana"},{"family":"Pyšek","given":"Petr"}],"issued":{"date-parts":[["2020",3,10]]}}}],"schema":"https://github.com/citation-style-language/schema/raw/master/csl-citation.json"} </w:instrText>
            </w:r>
            <w:r w:rsidR="001E50DF" w:rsidRPr="00C9564D">
              <w:rPr>
                <w:i/>
                <w:color w:val="000000" w:themeColor="text1"/>
              </w:rPr>
              <w:fldChar w:fldCharType="separate"/>
            </w:r>
            <w:r w:rsidR="001E50DF" w:rsidRPr="003B2822">
              <w:rPr>
                <w:lang w:val="it-IT"/>
              </w:rPr>
              <w:t>(e.g., Sitzia et al. 2012; Cierjacks et al. 2013; Campagnaro et al. 2018; Vítková et al. 2020)</w:t>
            </w:r>
            <w:r w:rsidR="001E50DF" w:rsidRPr="00C9564D">
              <w:rPr>
                <w:i/>
                <w:color w:val="000000" w:themeColor="text1"/>
              </w:rPr>
              <w:fldChar w:fldCharType="end"/>
            </w:r>
            <w:r w:rsidRPr="003B2822">
              <w:rPr>
                <w:color w:val="000000" w:themeColor="text1"/>
                <w:lang w:val="it-IT"/>
              </w:rPr>
              <w:t xml:space="preserve">). </w:t>
            </w:r>
            <w:r w:rsidRPr="00C9564D">
              <w:rPr>
                <w:color w:val="000000" w:themeColor="text1"/>
              </w:rPr>
              <w:t xml:space="preserve">Due to symbiosis between </w:t>
            </w:r>
            <w:r w:rsidRPr="00C9564D">
              <w:rPr>
                <w:i/>
                <w:color w:val="000000" w:themeColor="text1"/>
              </w:rPr>
              <w:t>R</w:t>
            </w:r>
            <w:r w:rsidR="003D56F5" w:rsidRPr="00C9564D">
              <w:rPr>
                <w:i/>
                <w:color w:val="000000" w:themeColor="text1"/>
              </w:rPr>
              <w:t>, pseudoacacia</w:t>
            </w:r>
            <w:r w:rsidRPr="00C9564D">
              <w:rPr>
                <w:i/>
                <w:color w:val="000000" w:themeColor="text1"/>
              </w:rPr>
              <w:t xml:space="preserve"> </w:t>
            </w:r>
            <w:r w:rsidRPr="00C9564D">
              <w:rPr>
                <w:color w:val="000000" w:themeColor="text1"/>
              </w:rPr>
              <w:t xml:space="preserve">and nitrogen fixing bacteria, more available mineral forms of soil nitrogen accumulate in the A-horizon under favourable moisture regime. On the other hand, high soil nitrification can decrease the pH of topsoil, and potentially lead to higher leaching of ions. </w:t>
            </w:r>
            <w:r w:rsidRPr="00C9564D">
              <w:rPr>
                <w:i/>
                <w:color w:val="000000" w:themeColor="text1"/>
              </w:rPr>
              <w:t>A</w:t>
            </w:r>
            <w:r w:rsidR="007115A1" w:rsidRPr="00C9564D">
              <w:rPr>
                <w:i/>
                <w:color w:val="000000" w:themeColor="text1"/>
              </w:rPr>
              <w:t>ilanthus</w:t>
            </w:r>
            <w:r w:rsidRPr="00C9564D">
              <w:rPr>
                <w:i/>
                <w:color w:val="000000" w:themeColor="text1"/>
              </w:rPr>
              <w:t xml:space="preserve"> altissima</w:t>
            </w:r>
            <w:r w:rsidRPr="00C9564D">
              <w:rPr>
                <w:color w:val="000000" w:themeColor="text1"/>
              </w:rPr>
              <w:t xml:space="preserve"> increases the availability of mineral nitrogen under its canopy due to the large amounts of fast-decomposing litter that it produces </w:t>
            </w:r>
            <w:r w:rsidR="00E0770A" w:rsidRPr="00C9564D">
              <w:rPr>
                <w:color w:val="000000" w:themeColor="text1"/>
              </w:rPr>
              <w:fldChar w:fldCharType="begin"/>
            </w:r>
            <w:r w:rsidR="00E0770A" w:rsidRPr="00C9564D">
              <w:rPr>
                <w:color w:val="000000" w:themeColor="text1"/>
              </w:rPr>
              <w:instrText xml:space="preserve"> ADDIN ZOTERO_ITEM CSL_CITATION {"citationID":"Vn4tbDaG","properties":{"formattedCitation":"(Gonz\\uc0\\u225{}lez-Mu\\uc0\\u241{}oz et al. 2013; Castro-D\\uc0\\u237{}ez et al. 2014; Medina-Villar et al. 2015)","plainCitation":"(González-Muñoz et al. 2013; Castro-Díez et al. 2014; Medina-Villar et al. 2015)","noteIndex":0},"citationItems":[{"id":710,"uris":["http://zotero.org/users/6602900/items/9WUJEWCX"],"uri":["http://zotero.org/users/6602900/items/9WUJEWCX"],"itemData":{"id":710,"type":"article-journal","abstract":"Exotic plant species can alter the nitrogen cycle in invaded ecosystems. We assess the differences in nitrogen use strategies and litter production and dynamics among three native riparian trees (Fraxinus angustifolia, Populus alba and Ulmus minor) and three co-occurring exotics (Ailanthus altissima, Robinia pseudoacacia and Ulmus pumila), currently spreading throughout river banks in inner Spain. We aim to predict the ecological consequences of a replacement of the natives by the exotics.","container-title":"Plant and Soil","DOI":"10.1007/s11104-012-1329-x","ISSN":"1573-5036","issue":"1","journalAbbreviation":"Plant and Soil","page":"319-329","title":"Differences in nitrogen use strategies between native and exotic tree species: predicting impacts on invaded ecosystems","volume":"363","author":[{"family":"González-Muñoz","given":"N."},{"family":"Castro-Díez","given":"P."},{"family":"Parker","given":"I. M."}],"issued":{"date-parts":[["2013",2,1]]}}},{"id":420,"uris":["http://zotero.org/users/6602900/items/6LUL6R25"],"uri":["http://zotero.org/users/6602900/items/6LUL6R25"],"itemData":{"id":420,"type":"article-journal","abstract":"Ailanthus altissima and Robina pseudoacacia are two successful invasive species of floodplains in central Spain. We aim to explain their success as invaders in this habitat by exploring their phenological pattern, vegetative and sexual reproductive growth, and allometric relations, comparing them with those of the dominant native tree Populus alba. During a full annual cycle we follow the timing of vegetative growth, flowering, fruit set, leaf abscission and fruit dispersal. Growth was assessed by harvesting two-year old branches at the peaks of vegetative, flower and fruit production and expressing the mass of current-year leaves, stems, inflorescences and infrutescences per unit of previous-year stem mass. Secondary growth was assessed as the increment of trunk basal area per previous-year basal area. A. altissima and R. pseudoacacia showed reproductive traits (late flowering phenology, insect pollination, late and long fruit set period, larger seeds) different from P. alba and other native trees, which may help them to occupy an empty reproductive niche and benefit from a reduced competition for the resources required by reproductive growth. The larger seeds of the invaders may make them less dependent on gaps for seedling establishment. If so, these invaders may benefit from the reduced gap formation rate of flood-regulated rivers of the study region. The two invasive species showed higher gross production than the native, due to the higher size of pre-existing stems rather than to a faster relative growth rate. The latter was only higher in A. altissima for stems, and in R. pseudoacacia for reproductive organs. A. altissima and R. pseudoacacia showed the lowest and highest reproductive/vegetative mass ratio, respectively. Therefore, A. altissima may outcompete native P. alba trees thanks to a high potential to overtop coexisting plants whereas R. pseudoacacia may do so by means of a higher investment in sexual reproduction.","container-title":"PLOS ONE","DOI":"10.1371/journal.pone.0100254","issue":"6","journalAbbreviation":"PLOS ONE","note":"publisher: Public Library of Science","pa</w:instrText>
            </w:r>
            <w:r w:rsidR="00E0770A" w:rsidRPr="003B2822">
              <w:rPr>
                <w:color w:val="000000" w:themeColor="text1"/>
                <w:lang w:val="it-IT"/>
              </w:rPr>
              <w:instrText xml:space="preserve">ge":"e100254","title":"Can the Life-History Strategy Explain the Success of the Exotic Trees Ailanthus altissima and Robinia pseudoacacia in Iberian Floodplain Forests?","volume":"9","author":[{"family":"Castro-Díez","given":"Pilar"},{"family":"Valle","given":"Guillermo"},{"family":"González-Muñoz","given":"Noelia"},{"family":"Alonso","given":"Álvaro"}],"issued":{"date-parts":[["2014",6,17]]}}},{"id":711,"uris":["http://zotero.org/users/6602900/items/9M7UKYPA"],"uri":["http://zotero.org/users/6602900/items/9M7UKYPA"],"itemData":{"id":711,"type":"article-journal","abstract":"To assess the impacts of Ailanthus altissima and Robinia pseudoacacia on the whole litterfall process and on soil properties of riparian ecosystems of Central Spain by comparing invaded and non-invaded forests.","container-title":"Plant and Soil","DOI":"10.1007/s11104-015-2592-4","ISSN":"1573-5036","issue":"1","journalAbbreviation":"Plant and Soil","page":"311-324","title":"Do the invasive trees, Ailanthus altissima and Robinia pseudoacacia, alter litterfall dynamics and soil properties of riparian ecosystems in Central Spain?","volume":"396","author":[{"family":"Medina-Villar","given":"S."},{"family":"Castro-Díez","given":"P."},{"family":"Alonso","given":"A."},{"family":"Cabra-Rivas","given":"I."},{"family":"Parker","given":"I. M."},{"family":"Pérez-Corona","given":"E."}],"issued":{"date-parts":[["2015",11,1]]}}}],"schema":"https://github.com/citation-style-language/schema/raw/master/csl-citation.json"} </w:instrText>
            </w:r>
            <w:r w:rsidR="00E0770A" w:rsidRPr="00C9564D">
              <w:rPr>
                <w:color w:val="000000" w:themeColor="text1"/>
              </w:rPr>
              <w:fldChar w:fldCharType="separate"/>
            </w:r>
            <w:r w:rsidR="00026EED" w:rsidRPr="00026EED">
              <w:rPr>
                <w:lang w:val="it-IT"/>
              </w:rPr>
              <w:t>(González-Muñoz et al. 2013; Castro-Díez et al. 2014; Medina-Villar et al. 2015)</w:t>
            </w:r>
            <w:r w:rsidR="00E0770A" w:rsidRPr="00C9564D">
              <w:rPr>
                <w:color w:val="000000" w:themeColor="text1"/>
              </w:rPr>
              <w:fldChar w:fldCharType="end"/>
            </w:r>
            <w:r w:rsidRPr="003B2822">
              <w:rPr>
                <w:color w:val="000000" w:themeColor="text1"/>
                <w:lang w:val="it-IT"/>
              </w:rPr>
              <w:t>.</w:t>
            </w:r>
          </w:p>
        </w:tc>
      </w:tr>
      <w:tr w:rsidR="00830EE5" w:rsidRPr="00C9564D" w14:paraId="1D7A516D" w14:textId="77777777" w:rsidTr="00830EE5">
        <w:tc>
          <w:tcPr>
            <w:tcW w:w="1798" w:type="dxa"/>
          </w:tcPr>
          <w:p w14:paraId="1D20F7D1" w14:textId="1DE5B230" w:rsidR="00830EE5" w:rsidRPr="00C9564D" w:rsidRDefault="00830EE5" w:rsidP="00D06125">
            <w:pPr>
              <w:spacing w:before="120" w:after="120"/>
              <w:rPr>
                <w:b/>
                <w:bCs/>
                <w:color w:val="000000" w:themeColor="text1"/>
              </w:rPr>
            </w:pPr>
            <w:r w:rsidRPr="00C9564D">
              <w:rPr>
                <w:b/>
                <w:color w:val="000000" w:themeColor="text1"/>
              </w:rPr>
              <w:t>Fire promoters /suppressors</w:t>
            </w:r>
          </w:p>
        </w:tc>
        <w:tc>
          <w:tcPr>
            <w:tcW w:w="1887" w:type="dxa"/>
          </w:tcPr>
          <w:p w14:paraId="0727FFB0" w14:textId="645E650F" w:rsidR="00830EE5" w:rsidRPr="00C9564D" w:rsidRDefault="00830EE5" w:rsidP="00C65110">
            <w:pPr>
              <w:spacing w:before="120" w:after="120"/>
              <w:rPr>
                <w:bCs/>
                <w:color w:val="000000" w:themeColor="text1"/>
              </w:rPr>
            </w:pPr>
            <w:r w:rsidRPr="00C9564D">
              <w:rPr>
                <w:color w:val="000000" w:themeColor="text1"/>
              </w:rPr>
              <w:t xml:space="preserve">(10) </w:t>
            </w:r>
            <w:r w:rsidR="00BF028C" w:rsidRPr="00C9564D">
              <w:rPr>
                <w:color w:val="000000" w:themeColor="text1"/>
              </w:rPr>
              <w:t>P</w:t>
            </w:r>
            <w:r w:rsidRPr="00C9564D">
              <w:rPr>
                <w:color w:val="000000" w:themeColor="text1"/>
              </w:rPr>
              <w:t>hysical impact on ecosystem</w:t>
            </w:r>
          </w:p>
        </w:tc>
        <w:tc>
          <w:tcPr>
            <w:tcW w:w="10710" w:type="dxa"/>
          </w:tcPr>
          <w:p w14:paraId="034587E0" w14:textId="0CA87A18" w:rsidR="00830EE5" w:rsidRPr="00C9564D" w:rsidRDefault="00830EE5" w:rsidP="00E25924">
            <w:pPr>
              <w:spacing w:before="120" w:after="120"/>
              <w:jc w:val="both"/>
              <w:rPr>
                <w:color w:val="000000" w:themeColor="text1"/>
              </w:rPr>
            </w:pPr>
            <w:r w:rsidRPr="00C9564D">
              <w:rPr>
                <w:color w:val="000000" w:themeColor="text1"/>
              </w:rPr>
              <w:t xml:space="preserve">The best-studied example of an </w:t>
            </w:r>
            <w:r w:rsidR="00C65110" w:rsidRPr="00C9564D">
              <w:rPr>
                <w:color w:val="000000" w:themeColor="text1"/>
              </w:rPr>
              <w:t>INNT</w:t>
            </w:r>
            <w:r w:rsidRPr="00C9564D">
              <w:rPr>
                <w:color w:val="000000" w:themeColor="text1"/>
              </w:rPr>
              <w:t xml:space="preserve"> that brings fire to a previously fire-free system is that of </w:t>
            </w:r>
            <w:r w:rsidRPr="00C9564D">
              <w:rPr>
                <w:i/>
                <w:color w:val="000000" w:themeColor="text1"/>
              </w:rPr>
              <w:t>Melaleuca quinquenervia</w:t>
            </w:r>
            <w:r w:rsidRPr="00C9564D">
              <w:rPr>
                <w:color w:val="000000" w:themeColor="text1"/>
              </w:rPr>
              <w:t xml:space="preserve"> invasions of wetland habitats in Florida, USA</w:t>
            </w:r>
            <w:r w:rsidR="00E57104" w:rsidRPr="00C9564D">
              <w:rPr>
                <w:color w:val="000000" w:themeColor="text1"/>
              </w:rPr>
              <w:t xml:space="preserve"> </w:t>
            </w:r>
            <w:r w:rsidR="00E57104" w:rsidRPr="00C9564D">
              <w:rPr>
                <w:color w:val="000000" w:themeColor="text1"/>
              </w:rPr>
              <w:fldChar w:fldCharType="begin"/>
            </w:r>
            <w:r w:rsidR="00E57104" w:rsidRPr="00C9564D">
              <w:rPr>
                <w:color w:val="000000" w:themeColor="text1"/>
              </w:rPr>
              <w:instrText xml:space="preserve"> ADDIN ZOTERO_ITEM CSL_CITATION {"citationID":"i775HcIT","properties":{"formattedCitation":"(Turner et al. 1997; F. Allen Dray et al. 2006; Porazinska et al. 2007)","plainCitation":"(Turner et al. 1997; F. Allen Dray et al. 2006; Porazinska et al. 2007)","noteIndex":0},"citationItems":[{"id":713,"uris":["http://zotero.org/users/6602900/items/RFAZXIM4"],"uri":["http://zotero.org/users/6602900/items/RFAZXIM4"],"itemData":{"id":713,"type":"article-journal","abstract":"Invasive weeds are potent agents of environmental change. Wetlands are valuable environments that frequently are impinged by a variety of threats including invasive weeds. Melaleuca quinquenervia (Cav.) S.T. Blake (broad-leaved paperbark), though experiencing major diminishment of native populations in Australia, is naturalized and highly invasive in most wetland habitats of south Florida, U.S.A., where it infests more than 202,000 ha. Wetlands in south Florida, including such renowned areas as the Everglades, are being transformed into M. quinquenervia swamps, with major environmental and economic impacts. Current management methods include herbicides, mechanical or hand removal of plants, flooding, and prescribed burning. Insufficient information, high costs, non-target impacts, and the resilience of M. quinquenervia (trunk and root sprouts and massive canopy seed banks) greatly constrain the effectiveness of these control methods. Biological control offers long-term management potential, most likely by reducing the rate of spread and the vitality and growth rate of plants, thus rendering them more vulnerable to other environmental stresses and control methods. The leaf weevil Oxyops vitiosa Pascoe, a natural enemy of M. quinquenervia in Australia, will likely be the first biocontrol agent released against the weed in Florida. More information is needed, especially ecological data, to better understand the invasiveness of M. quinquenervia in Florida and to facilitate its management there.","container-title":"Wetlands Ecology and Management","DOI":"10.1023/A:1008205122757","ISSN":"1572-9834","issue":"3","journalAbbreviation":"Wetlands Ecology and Management","page":"165-178","title":"Ecology and management of Melaleuca quinquenervia, an invader of wetlands in Florida, U.S.A.","volume":"5","author":[{"family":"Turner","given":"C.E."},{"family":"Center","given":"T.D."},{"family":"Burrows","given":"D.W."},{"family":"Buckingham","given":"G.R."}],"issued":{"date-parts":[["1997",9,1]]}}},{"id":688,"uris":["http://zotero.org/users/6602900/items/KGLF3CYA"],"uri":["http://zotero.org/users/6602900/items/KGLF3CYA"],"itemData":{"id":688,"type":"article-journal","container-title":"Castanea","DOI":"10.2179/05-27.1","issue":"3","journalAbbreviation":"Castanea","page":"210-225","title":"Invasion History of Melaleuca quinquenervia (Cav.) S.T. Blake in Florida","volume":"71","author":[{"literal":"F. Allen Dray"},{"literal":"Bradley C. Bennett"},{"literal":"Ted D. Center"}],"issued":{"date-parts":[["2006",9,1]]}}},{"id":386,"uris":["http://zotero.org/users/6602900/items/T6CTDSRA"],"uri":["http://zotero.org/users/6602900/items/T6CTDSRA"],"itemData":{"id":386,"type":"article-journal","abstract":"The tree Melaleuca quinquenervia invades all types of habitats of South Florida leading to up to 80% loss of aboveground diversity. To examine impacts on the belowground ecosystem, we investigated the composition and diversity of nematodes from soils dominated by the invasive tree and compared them with soils supporting native plant communities at six locations across the Florida Everglades over three years. Despite the significant differences in soil type, hydrology, and native plant composition of the sites, there were consistent differences in nematode communities between soil environments under the native and invaded plant communities. The total abundance and diversity of nematodes in soils dominated by M. quinquenervia was 60% and 80% of adjacent soils under native plants. Fungal-feeding and plant-parasitic nematodes were twice as abundant under native plants as under M. quinquenervia. Nematode communities under M. quinquenervia were bacterivore-dominated, while under native vegetation plant-parasite dominated. The overall diversity of nematodes was 20% lower under the exotic than under native plants, with plant parasites being 36% and fungivores being 30% less diverse. Soil moisture, % of Ca, Mg, and clay particles and total soil C and N were greater in M. quinquenervia soils, but plant-available concentrations of P, K, Ca, and Mg as well as CEC were reduced. Overall, data suggests that the invasion process may modify soil biotic and abiotic conditions that in turn promote the advancement of the exotic M. quinquenervia and displacement of the native plants.","archive":"PubMed","archive_location":"19259503","container-title":"Journal of nematology","ISSN":"0022-300X","issue":"4","journalAbbreviation":"J Nematol","language":"eng","note":"publisher: The Society of Nematologists","page":"305-312","title":"Consequences of Melaleuca quinquenervia Invasion on Soil Nematodes in the Florida Everglades","volume":"39","author":[{"family":"Porazinska","given":"Dorota L"},{"family":"Pratt","given":"Paul D"},{"family":"Glblin-Davis","given":"Robin M"}],"issued":{"date-parts":[["2007",12]]}}}],"schema":"https://github.com/citation-style-language/schema/raw/master/csl-citation.json"} </w:instrText>
            </w:r>
            <w:r w:rsidR="00E57104" w:rsidRPr="00C9564D">
              <w:rPr>
                <w:color w:val="000000" w:themeColor="text1"/>
              </w:rPr>
              <w:fldChar w:fldCharType="separate"/>
            </w:r>
            <w:r w:rsidR="00026EED" w:rsidRPr="00026EED">
              <w:t>(Turner et al. 1997; F. Allen Dray et al. 2006; Porazinska et al. 2007)</w:t>
            </w:r>
            <w:r w:rsidR="00E57104" w:rsidRPr="00C9564D">
              <w:rPr>
                <w:color w:val="000000" w:themeColor="text1"/>
              </w:rPr>
              <w:fldChar w:fldCharType="end"/>
            </w:r>
            <w:r w:rsidRPr="00C9564D">
              <w:rPr>
                <w:color w:val="000000" w:themeColor="text1"/>
              </w:rPr>
              <w:t xml:space="preserve">, where a massive increase in fuel load material leads to very intense fires. Examples of where alien tree and shrub invasions have suppressed fire frequency are </w:t>
            </w:r>
            <w:r w:rsidRPr="00C9564D">
              <w:rPr>
                <w:i/>
                <w:color w:val="000000" w:themeColor="text1"/>
              </w:rPr>
              <w:t>Mimosa pigra</w:t>
            </w:r>
            <w:r w:rsidRPr="00C9564D">
              <w:rPr>
                <w:color w:val="000000" w:themeColor="text1"/>
              </w:rPr>
              <w:t xml:space="preserve"> in northern Australia and </w:t>
            </w:r>
            <w:r w:rsidRPr="00C9564D">
              <w:rPr>
                <w:i/>
                <w:color w:val="000000" w:themeColor="text1"/>
              </w:rPr>
              <w:t>Triadica sebifera</w:t>
            </w:r>
            <w:r w:rsidRPr="00C9564D">
              <w:rPr>
                <w:color w:val="000000" w:themeColor="text1"/>
              </w:rPr>
              <w:t xml:space="preserve"> and </w:t>
            </w:r>
            <w:r w:rsidRPr="00C9564D">
              <w:rPr>
                <w:i/>
                <w:color w:val="000000" w:themeColor="text1"/>
              </w:rPr>
              <w:t>Schinus terebinthifolius</w:t>
            </w:r>
            <w:r w:rsidRPr="00C9564D">
              <w:rPr>
                <w:color w:val="000000" w:themeColor="text1"/>
              </w:rPr>
              <w:t xml:space="preserve"> in North America</w:t>
            </w:r>
            <w:r w:rsidR="005D55A2" w:rsidRPr="00C9564D">
              <w:rPr>
                <w:color w:val="000000" w:themeColor="text1"/>
              </w:rPr>
              <w:t xml:space="preserve"> </w:t>
            </w:r>
            <w:r w:rsidR="005D55A2" w:rsidRPr="00C9564D">
              <w:rPr>
                <w:color w:val="000000" w:themeColor="text1"/>
              </w:rPr>
              <w:fldChar w:fldCharType="begin"/>
            </w:r>
            <w:r w:rsidR="00E0770A" w:rsidRPr="00C9564D">
              <w:rPr>
                <w:color w:val="000000" w:themeColor="text1"/>
              </w:rPr>
              <w:instrText xml:space="preserve"> ADDIN ZOTERO_ITEM CSL_CITATION {"citationID":"u7Jqd82e","properties":{"formattedCitation":"(Stevens and Beckage 2009; Jens T. Stevens and Brian Beckage 2010)","plainCitation":"(Stevens and Beckage 2009; Jens T. Stevens and Brian Beckage 2010)","dontUpdate":true,"noteIndex":0},"citationItems":[{"id":707,"uris":["http://zotero.org/users/6602900/items/TKSLLWN5"],"uri":["http://zotero.org/users/6602900/items/TKSLLWN5"],"itemData":{"id":707,"type":"article-journal","abstract":"Summary ?? Fire disturbance can mediate the invasion of ecological communities by nonnative species. Nonnative plants that modify existing fire regimes may initiate a positive feedback that can facilitate their continued invasion. Fire-sensitive plants may successfully invade pyrogenic landscapes if they can inhibit fire in the landscape. ?? Here, we investigated whether the invasive shrub Brazilian pepper (Schinus terebinthifolius) can initiate a fire-suppression feedback in a fire-dependent pine savanna ecosystem in the southeastern USA. ?? We found that prescribed burns caused significant (30?45%) mortality of Brazilian pepper at low densities and that savannas with more frequent fires contained less Brazilian pepper. However, high densities of Brazilian pepper reduced fire temperature by up to 200°C, and experienced as much as 80% lower mortality. ?? A cellular automaton model was used to demonstrate that frequent fire may control low-density populations, but that Brazilian pepper may reach a sufficient density during fire-free periods to initiate a positive feedback that reduces the frequency of fire and converts the savanna to an invasive-dominated forest.","container-title":"New Phytologist","DOI":"10.1111/j.1469-8137.2009.02965.x","ISSN":"0028-646X","issue":"2","journalAbbreviation":"New Phytologist","note":"publisher: John Wiley &amp; Sons, Ltd","page":"365-375","title":"Fire feedbacks facilitate invasion of pine savannas by Brazilian pepper (Schinus terebinthifolius)","volume":"184","author":[{"family":"Stevens","given":"Jens T."},{"family":"Beckage","given":"Brian"}],"issued":{"date-parts":[["2009",10,1]]}}},{"id":706,"uris":["http://zotero.org/users/6602900/items/BQA64EL6"],"uri":["http://zotero.org/users/6602900/items/BQA64EL6"],"itemData":{"id":706,"type":"article-journal","container-title":"Natural Areas Journal","DOI":"10.3375/043.030.0106","issue":"1","journalAbbreviation":"Natural Areas Journal","page":"53-63","title":"Fire Effects on Demography of the Invasive Shrub Brazilian Pepper (Schinus terebinthifolius) in Florida Pine Savannas","volume":"30","author":[{"literal":"Jens T. Stevens"},{"literal":"Brian Beckage"}],"issued":{"date-parts":[["2010",1,1]]}}}],"schema":"https://github.com/citation-style-language/schema/raw/master/csl-citation.json"} </w:instrText>
            </w:r>
            <w:r w:rsidR="005D55A2" w:rsidRPr="00C9564D">
              <w:rPr>
                <w:color w:val="000000" w:themeColor="text1"/>
              </w:rPr>
              <w:fldChar w:fldCharType="separate"/>
            </w:r>
            <w:r w:rsidR="005D55A2" w:rsidRPr="00C9564D">
              <w:t>(Stevens and Beckage 2009, 2010)</w:t>
            </w:r>
            <w:r w:rsidR="005D55A2" w:rsidRPr="00C9564D">
              <w:rPr>
                <w:color w:val="000000" w:themeColor="text1"/>
              </w:rPr>
              <w:fldChar w:fldCharType="end"/>
            </w:r>
            <w:r w:rsidRPr="00C9564D">
              <w:rPr>
                <w:color w:val="000000" w:themeColor="text1"/>
              </w:rPr>
              <w:t>; in all cases alien tree invasions result in reduced horizontal continuity of fuel which reduces fire frequency and intensity</w:t>
            </w:r>
            <w:r w:rsidR="005D55A2" w:rsidRPr="00C9564D">
              <w:rPr>
                <w:color w:val="000000" w:themeColor="text1"/>
              </w:rPr>
              <w:t xml:space="preserve"> </w:t>
            </w:r>
            <w:r w:rsidR="005D55A2" w:rsidRPr="00C9564D">
              <w:rPr>
                <w:color w:val="000000" w:themeColor="text1"/>
              </w:rPr>
              <w:fldChar w:fldCharType="begin"/>
            </w:r>
            <w:r w:rsidR="005D55A2" w:rsidRPr="00C9564D">
              <w:rPr>
                <w:color w:val="000000" w:themeColor="text1"/>
              </w:rPr>
              <w:instrText xml:space="preserve"> ADDIN ZOTERO_ITEM CSL_CITATION {"citationID":"TRGgPoZ0","properties":{"formattedCitation":"(Brooks et al. 2004)","plainCitation":"(Brooks et al. 2004)","noteIndex":0},"citationItems":[{"id":709,"uris":["http://zotero.org/users/6602900/items/23U9D298"],"uri":["http://zotero.org/users/6602900/items/23U9D298"],"itemData":{"id":709,"type":"article-journal","abstract":"Plant invasions are widely recognized as significant threats to biodiversity conservation worldwide. One way invasions can affect native ecosystems is by changing fuel properties, which can in turn affect fire behavior and, ultimately, alter fire regime characteristics such as frequency, intensity, extent, type, and seasonality of fire. If the regime changes subsequently promote the dominance of the invaders, then an invasive plant–fire regime cycle can be established. As more ecosystem components and interactions are altered, restoration of preinvasion conditions becomes more difficult. Restoration may require managing fuel conditions, fire regimes, native plant communities, and other ecosystem properties in addition to the invaders that caused the changes in the first place. We present a multiphase model describing the interrelationships between plant invaders and fire regimes, provide a system for evaluating the relative effects of invaders and prioritizing them for control, and recommend ways to restore pre-invasion fire regime properties.","container-title":"BioScience","DOI":"10.1641/0006-3568(2004)054[0677:EOIAPO]2.0.CO;2","ISSN":"0006-3568","issue":"7","journalAbbreviation":"BioScience","page":"677-688","title":"Effects of Invasive Alien Plants on Fire Regimes","volume":"54","author":[{"family":"Brooks","given":"Matthew L."},{"family":"D'Antonio","given":"Carla M."},{"family":"Richardson","given":"David M."},{"family":"Grace","given":"James B."},{"family":"Keeley","given":"Jon E."},{"family":"DiTomaso","given":"Joseph M."},{"family":"Hobbs","given":"Richard J."},{"family":"Pellant","given":"Mike"},{"family":"Pyke","given":"David"}],"issued":{"date-parts":[["2004",7,1]]}}}],"schema":"https://github.com/citation-style-language/schema/raw/master/csl-citation.json"} </w:instrText>
            </w:r>
            <w:r w:rsidR="005D55A2" w:rsidRPr="00C9564D">
              <w:rPr>
                <w:color w:val="000000" w:themeColor="text1"/>
              </w:rPr>
              <w:fldChar w:fldCharType="separate"/>
            </w:r>
            <w:r w:rsidR="00026EED" w:rsidRPr="00026EED">
              <w:t>(Brooks et al. 2004)</w:t>
            </w:r>
            <w:r w:rsidR="005D55A2" w:rsidRPr="00C9564D">
              <w:rPr>
                <w:color w:val="000000" w:themeColor="text1"/>
              </w:rPr>
              <w:fldChar w:fldCharType="end"/>
            </w:r>
            <w:r w:rsidRPr="00C9564D">
              <w:rPr>
                <w:color w:val="000000" w:themeColor="text1"/>
              </w:rPr>
              <w:t>.</w:t>
            </w:r>
          </w:p>
        </w:tc>
      </w:tr>
      <w:tr w:rsidR="00830EE5" w:rsidRPr="00C9564D" w14:paraId="5C294378" w14:textId="77777777" w:rsidTr="00830EE5">
        <w:tc>
          <w:tcPr>
            <w:tcW w:w="1798" w:type="dxa"/>
          </w:tcPr>
          <w:p w14:paraId="78928D27" w14:textId="77777777" w:rsidR="00830EE5" w:rsidRPr="00C9564D" w:rsidRDefault="00830EE5" w:rsidP="00D06125">
            <w:pPr>
              <w:spacing w:before="120" w:after="120"/>
              <w:rPr>
                <w:b/>
                <w:bCs/>
                <w:color w:val="000000" w:themeColor="text1"/>
              </w:rPr>
            </w:pPr>
            <w:r w:rsidRPr="00C9564D">
              <w:rPr>
                <w:b/>
                <w:color w:val="000000" w:themeColor="text1"/>
              </w:rPr>
              <w:t>Sand stabilizers</w:t>
            </w:r>
          </w:p>
        </w:tc>
        <w:tc>
          <w:tcPr>
            <w:tcW w:w="1887" w:type="dxa"/>
          </w:tcPr>
          <w:p w14:paraId="2BCC421E" w14:textId="33B899CB" w:rsidR="00830EE5" w:rsidRPr="00C9564D" w:rsidRDefault="00830EE5" w:rsidP="00843AC9">
            <w:pPr>
              <w:spacing w:before="120" w:after="120"/>
              <w:rPr>
                <w:color w:val="000000" w:themeColor="text1"/>
              </w:rPr>
            </w:pPr>
            <w:r w:rsidRPr="00C9564D">
              <w:rPr>
                <w:color w:val="000000" w:themeColor="text1"/>
              </w:rPr>
              <w:t xml:space="preserve">(11) </w:t>
            </w:r>
            <w:r w:rsidR="00BF028C" w:rsidRPr="00C9564D">
              <w:rPr>
                <w:color w:val="000000" w:themeColor="text1"/>
              </w:rPr>
              <w:t>S</w:t>
            </w:r>
            <w:r w:rsidRPr="00C9564D">
              <w:rPr>
                <w:color w:val="000000" w:themeColor="text1"/>
              </w:rPr>
              <w:t>tructural impact on ecosystem</w:t>
            </w:r>
          </w:p>
        </w:tc>
        <w:tc>
          <w:tcPr>
            <w:tcW w:w="10710" w:type="dxa"/>
          </w:tcPr>
          <w:p w14:paraId="31C7EF29" w14:textId="5D06DAA5" w:rsidR="00830EE5" w:rsidRPr="00C9564D" w:rsidRDefault="00E25924" w:rsidP="00E25924">
            <w:pPr>
              <w:spacing w:before="120" w:after="120"/>
              <w:jc w:val="both"/>
              <w:rPr>
                <w:b/>
                <w:color w:val="000000" w:themeColor="text1"/>
              </w:rPr>
            </w:pPr>
            <w:r w:rsidRPr="00C9564D">
              <w:rPr>
                <w:color w:val="000000" w:themeColor="text1"/>
              </w:rPr>
              <w:t xml:space="preserve">Australian </w:t>
            </w:r>
            <w:r w:rsidRPr="00C9564D">
              <w:rPr>
                <w:i/>
                <w:color w:val="000000" w:themeColor="text1"/>
              </w:rPr>
              <w:t>Acacia</w:t>
            </w:r>
            <w:r w:rsidRPr="00C9564D">
              <w:rPr>
                <w:color w:val="000000" w:themeColor="text1"/>
              </w:rPr>
              <w:t xml:space="preserve"> species have been widely planted along coastal dunes in several parts of the world to stabilize sand movement </w:t>
            </w:r>
            <w:r w:rsidRPr="00C9564D">
              <w:rPr>
                <w:color w:val="000000" w:themeColor="text1"/>
              </w:rPr>
              <w:fldChar w:fldCharType="begin"/>
            </w:r>
            <w:r w:rsidRPr="00C9564D">
              <w:rPr>
                <w:color w:val="000000" w:themeColor="text1"/>
              </w:rPr>
              <w:instrText xml:space="preserve"> ADDIN ZOTERO_ITEM CSL_CITATION {"citationID":"Jbr2oGDv","properties":{"formattedCitation":"(Kull et al. 2011)","plainCitation":"(Kull et al. 2011)","noteIndex":0},"citationItems":[{"id":719,"uris":["http://zotero.org/users/6602900/items/527Y6KFJ"],"uri":["http://zotero.org/users/6602900/items/527Y6KFJ"],"itemData":{"id":719,"type":"article-journal","abstract":"Abstract Aim? To examine the different uses and perceptions of introduced Australian acacias (wattles; Acacia subgenus Phyllodineae) by rural households and communities. Location? Eighteen landscape-scale case studies around the world, in Vietnam, India, Réunion, Madagascar, South Africa, Congo, Niger, Ethiopia, Israel, France, Portugal, Brazil, Chile, Dominican Republic and Hawai?i. Methods? Qualitative comparison of case studies, based on questionnaire sent to network of acacia researchers. Information based on individual knowledge of local experts, published and unpublished sources. Results? We propose a conceptual model to explain current uses and perceptions of introduced acacias. It highlights historically and geographically contingent processes, including economic development, environmental discourses, political context, and local or regional needs. Four main groupings of case studies were united by similar patterns: (1) poor communities benefiting from targeted agroforestry projects; (2) places where residents, generally poor, take advantage of a valuable resource already present in their landscape via plantation and/or invasion; (3) regions of small and mid-scale tree farmers participating in the forestry industry; and (4) a number of high-income communities dealing with the legacies of former or niche use of introduced acacia in a context of increased concern over biodiversity and ecosystem services. Main conclusions? Economic conditions play a key role shaping acacia use. Poorer communities rely strongly on acacias (often in, or escaped from, formal plantations) for household needs and, sometimes, for income. Middle-income regions more typically host private farm investments in acacia woodlots for commercialization. Efforts at control of invasive acacias must take care to not adversely impact poor dependent communities.","container-title":"Diversity and Distributions","DOI":"10.1111/j.1472-4642.2011.00783.x","ISSN":"1366-9516","issue":"5","journalAbbreviation":"Diversity and Distributions","note":"publisher: John Wiley &amp; Sons, Ltd","page":"822-836","title":"Adoption, use and perception of Australian acacias around the world","volume":"17","author":[{"family":"Kull","given":"Christian A."},{"family":"Shackleton","given":"Charlie M."},{"family":"Cunningham","given":"Peter J."},{"family":"Ducatillon","given":"Catherine"},{"family":"Dufour-Dror","given":"Jean-Marc"},{"family":"Esler","given":"Karen J."},{"family":"Friday","given":"James B."},{"family":"Gouveia","given":"António C."},{"family":"Griffin","given":"A. R."},{"family":"Marchante","given":"Elizabete"},{"family":"Midgley","given":"Stephen J."},{"family":"Pauchard","given":"Aníbal"},{"family":"Rangan","given":"Haripriya"},{"family":"Richardson","given":"David M."},{"family":"Rinaudo","given":"Tony"},{"family":"Tassin","given":"Jacques"},{"family":"Urgenson","given":"Lauren S."},{"family":"Maltitz","given":"Graham P.","non-dropping-particle":"von"},{"family":"Zenni","given":"Rafael D."},{"family":"Zylstra","given":"Matthew J."}],"issued":{"date-parts":[["2011",9,1]]}}}],"schema":"https://github.com/citation-style-language/schema/raw/master/csl-citation.json"} </w:instrText>
            </w:r>
            <w:r w:rsidRPr="00C9564D">
              <w:rPr>
                <w:color w:val="000000" w:themeColor="text1"/>
              </w:rPr>
              <w:fldChar w:fldCharType="separate"/>
            </w:r>
            <w:r w:rsidR="00026EED" w:rsidRPr="00026EED">
              <w:t>(Kull et al. 2011)</w:t>
            </w:r>
            <w:r w:rsidRPr="00C9564D">
              <w:rPr>
                <w:color w:val="000000" w:themeColor="text1"/>
              </w:rPr>
              <w:fldChar w:fldCharType="end"/>
            </w:r>
            <w:r w:rsidRPr="00C9564D">
              <w:rPr>
                <w:color w:val="000000" w:themeColor="text1"/>
              </w:rPr>
              <w:t xml:space="preserve">. For example, many coastal dune ecosystems in Portugal are invaded by the leguminous tree </w:t>
            </w:r>
            <w:r w:rsidRPr="00E205FC">
              <w:rPr>
                <w:i/>
                <w:color w:val="000000" w:themeColor="text1"/>
              </w:rPr>
              <w:t>Acacia longifolia</w:t>
            </w:r>
            <w:r w:rsidRPr="00C9564D">
              <w:rPr>
                <w:color w:val="000000" w:themeColor="text1"/>
              </w:rPr>
              <w:t xml:space="preserve">. </w:t>
            </w:r>
            <w:r w:rsidR="00830EE5" w:rsidRPr="00C9564D">
              <w:rPr>
                <w:color w:val="000000" w:themeColor="text1"/>
              </w:rPr>
              <w:t xml:space="preserve">Long-term occupation by </w:t>
            </w:r>
            <w:r w:rsidR="00830EE5" w:rsidRPr="00C9564D">
              <w:rPr>
                <w:i/>
                <w:color w:val="000000" w:themeColor="text1"/>
              </w:rPr>
              <w:t>A</w:t>
            </w:r>
            <w:r w:rsidR="00843AC9" w:rsidRPr="00C9564D">
              <w:rPr>
                <w:i/>
                <w:color w:val="000000" w:themeColor="text1"/>
              </w:rPr>
              <w:t>acacia</w:t>
            </w:r>
            <w:r w:rsidR="00830EE5" w:rsidRPr="00C9564D">
              <w:rPr>
                <w:i/>
                <w:color w:val="000000" w:themeColor="text1"/>
              </w:rPr>
              <w:t xml:space="preserve"> longifolia</w:t>
            </w:r>
            <w:r w:rsidR="00830EE5" w:rsidRPr="00C9564D">
              <w:rPr>
                <w:color w:val="000000" w:themeColor="text1"/>
              </w:rPr>
              <w:t xml:space="preserve"> significantly altered the soil properties with increased levels of organic C, total N and exchangeable cations resulting in higher microbial biomass, basal respiration, and b-glucosaminidase activity </w:t>
            </w:r>
            <w:r w:rsidR="00843AC9" w:rsidRPr="00C9564D">
              <w:rPr>
                <w:color w:val="000000" w:themeColor="text1"/>
              </w:rPr>
              <w:fldChar w:fldCharType="begin"/>
            </w:r>
            <w:r w:rsidR="00843AC9" w:rsidRPr="00C9564D">
              <w:rPr>
                <w:color w:val="000000" w:themeColor="text1"/>
              </w:rPr>
              <w:instrText xml:space="preserve"> ADDIN ZOTERO_ITEM CSL_CITATION {"citationID":"NBrHIJZL","properties":{"formattedCitation":"(Marchante et al. 2003; Marchante et al. 2008; Marchante et al. 2011)","plainCitation":"(Marchante et al. 2003; Marchante et al. 2008; Marchante et al. 2011)","noteIndex":0},"citationItems":[{"id":714,"uris":["http://zotero.org/users/6602900/items/VYWNWRZG"],"uri":["http://zotero.org/users/6602900/items/VYWNWRZG"],"itemData":{"id":714,"type":"article-journal","collection-title":"Plant Invasions","container-title":"Plant Invasion: Ecological Threats and Management Solutions (eds L.E. Child, J.H. Brock, G. Brundu, K. Prach, P. Pyšek, P.M. Wade &amp; M. Williamson)","journalAbbreviation":"Plant invasions: ecological threats and management solutions","note":"publisher: Backhuys Publishers Leiden, The Netherlands","page":"75-85","title":"Invasion of the Portuguese dune ecosystems by the exotic species Acacia longifolia (Andrews) Willd.: effects at the community level","author":[{"family":"Marchante","given":"Hélia"},{"family":"Marchante","given":"Elizabete"},{"family":"Freitas","given":"Helena"}],"issued":{"date-parts":[["2003"]]}}},{"id":717,"uris":["http://zotero.org/users/6602900/items/UJNB45BC"],"uri":["http://zotero.org/users/6602900/items/UJNB45BC"],"itemData":{"id":717,"type":"article-journal","abstract":"Many coastal dune ecosystems in Portugal are invaded by the leguminous tree Acacia longifolia (Andrews) Willd. This exotic species was first introduced over one hundred years ago in an effort to mitigate dune erosion and loss of coastal landscapes. However, since then A. longifolia has spread to new areas, displacing the native vegetation. These invaded ecosystems contrast with the native dune ecosystems that are typically dominated by herb and shrub communities. This study characterizes belowground changes to the native environment as a result of recent (&lt;10 y) and long-term invasion (&gt;20 y) by A. longifolia by analyzing a range of chemical and microbial parameters. Both invaded areas accumulated higher litter densities with greater N contents and lower C/N ratios than the native areas, which corresponded to lower C/N ratio and to higher potential rates of nitrification in the invaded soils. Long-term occupation by A. longifolia has significantly altered the soil properties with increased levels of organic C, total N and exchangeable cations resulting in higher microbial biomass, basal respiration, and β-glucosaminidase activity. However, basal respiration and microbial biomass were significantly higher within recent invasion sites when calculated relative to soil organic C. The results from this study show that invasions by A. longifolia have altered the original native ecosystem processes and that the impacts are more pronounced within long-term invaded sites. A positive feedback mechanism is apparent for A. longifolia invading these Mediterranean dunes, which can make the restoration of native plant communities increasingly difficult with time elapsed since invasion.","container-title":"Applied Soil Ecology","DOI":"10.1016/j.apsoil.2008.04.004","ISSN":"0929-1393","issue":"2","journalAbbreviation":"Applied Soil Ecology","page":"210-217","title":"Short- and long-term impacts of Acacia longifolia invasion on the belowground processes of a Mediterranean coastal dune ecosystem","volume":"40","author":[{"family":"Marchante","given":"Elizabete"},{"family":"Kjøller","given":"Annelise"},{"family":"Struwe","given":"Sten"},{"family":"Freitas","given":"Helena"}],"issued":{"date-parts":[["2008",10,1]]}}},{"id":715,"uris":["http://zotero.org/users/6602900/items/MQJ93VEG"],"uri":["http://zotero.org/users/6602900/items/MQJ93VEG"],"itemData":{"id":715,"type":"article-journal","abstract":"Abstract Question: How resilient is the seed bank of an invaded dune system? Is that resilience dependent on duration of invasion? How does the accumulated litter layer contribute to the soil seed bank? Location: Coastal sand dunes invaded by Acacia longifolia, Portugal. Methods: Seedling emergence was used to quantify and compare soil seed banks in long-invaded, recently invaded and non-invaded areas. Changes in seed banks were also compared with areas where A. longifolia and the litter layer were removed. Results: Species richness, seedling density and diversity were higher in non-invaded and recently-invaded areas than in long-invaded areas. Although there was an apparent similarity between non-invaded and recently-invaded areas, analyses of species traits revealed differences. Non-invaded areas had a wider array of trait</w:instrText>
            </w:r>
            <w:r w:rsidR="00843AC9" w:rsidRPr="00E205FC">
              <w:rPr>
                <w:color w:val="000000" w:themeColor="text1"/>
              </w:rPr>
              <w:instrText xml:space="preserve">s. Exotic/invasive species dominated invaded seed banks while native species dominated non-invaded seed banks. Life forms, growth forms, longevity and dispersal mode showed differences between areas, with cleared plots of long-invaded areas being apparently the most similar to non-invaded plots. Acacia longifolia seeds were most abundant in long-invaded areas, particularly where the litter layer remained. Removal of A. longifolia plus the litter had little effect on the seed bank composition of recently-invaded areas but resulted in noticeable changes in seed banks of long-invaded areas. Conclusions: Long-invaded areas are less resilient and show a higher reinvasion potential, despite severe alteration of the seed banks of both areas. Seed bank studies can be a useful tool to guide management, but can give misleading results when invasion periods are protracted.","container-title":"Applied Vegetation Science","DOI":"10.1111/j.1654-109X.2010.01099.x","ISSN":"1402-2001","issue":"1","journalAbbreviation":"Applied Vegetation Science","note":"publisher: John Wiley &amp; Sons, Ltd","page":"107-119","title":"The potential role of seed banks in the recovery of dune ecosystems after removal of invasive plant species","volume":"14","author":[{"family":"Marchante","given":"Hélia"},{"family":"Freitas","given":"Helena"},{"family":"Hoffmann","given":"John H."}],"issued":{"date-parts":[["2011",2,1]]}}}],"schema":"https://github.com/citation-style-language/schema/raw/master/csl-citation.json"} </w:instrText>
            </w:r>
            <w:r w:rsidR="00843AC9" w:rsidRPr="00C9564D">
              <w:rPr>
                <w:color w:val="000000" w:themeColor="text1"/>
              </w:rPr>
              <w:fldChar w:fldCharType="separate"/>
            </w:r>
            <w:r w:rsidR="00026EED" w:rsidRPr="00026EED">
              <w:t>(Marchante et al. 2003; Marchante et al. 2008; Marchante et al. 2011)</w:t>
            </w:r>
            <w:r w:rsidR="00843AC9" w:rsidRPr="00C9564D">
              <w:rPr>
                <w:color w:val="000000" w:themeColor="text1"/>
              </w:rPr>
              <w:fldChar w:fldCharType="end"/>
            </w:r>
            <w:r w:rsidR="00830EE5" w:rsidRPr="00E205FC">
              <w:rPr>
                <w:color w:val="000000" w:themeColor="text1"/>
              </w:rPr>
              <w:t xml:space="preserve">. </w:t>
            </w:r>
            <w:r w:rsidR="00830EE5" w:rsidRPr="00C9564D">
              <w:rPr>
                <w:color w:val="000000" w:themeColor="text1"/>
              </w:rPr>
              <w:t xml:space="preserve">The replacement of drought tolerant native species by the water spending invader, </w:t>
            </w:r>
            <w:r w:rsidR="00830EE5" w:rsidRPr="00C9564D">
              <w:rPr>
                <w:i/>
                <w:color w:val="000000" w:themeColor="text1"/>
              </w:rPr>
              <w:t>A. longifolia</w:t>
            </w:r>
            <w:r w:rsidR="00830EE5" w:rsidRPr="00C9564D">
              <w:rPr>
                <w:color w:val="000000" w:themeColor="text1"/>
              </w:rPr>
              <w:t>, can have serious implications for ecosystem functioning, especially during the pro-longed drought periods predicted to occur in Portugal in the future</w:t>
            </w:r>
            <w:r w:rsidRPr="00C9564D">
              <w:rPr>
                <w:color w:val="000000" w:themeColor="text1"/>
              </w:rPr>
              <w:t xml:space="preserve"> </w:t>
            </w:r>
            <w:r w:rsidRPr="00C9564D">
              <w:rPr>
                <w:color w:val="000000" w:themeColor="text1"/>
              </w:rPr>
              <w:fldChar w:fldCharType="begin"/>
            </w:r>
            <w:r w:rsidRPr="00C9564D">
              <w:rPr>
                <w:color w:val="000000" w:themeColor="text1"/>
              </w:rPr>
              <w:instrText xml:space="preserve"> ADDIN ZOTERO_ITEM CSL_CITATION {"citationID":"fhxI0ZNH","properties":{"formattedCitation":"(Rascher et al. 2011)","plainCitation":"(Rascher et al. 2011)","noteIndex":0},"citationItems":[{"id":718,"uris":["http://zotero.org/users/6602900/items/D63FKGQS"],"uri":["http://zotero.org/users/6602900/items/D63FKGQS"],"itemData":{"id":718,"type":"article-journal","abstract":"Acacia spp. are among the most serious plant invaders worldwide, and Acacia longifolia specifically causes problems in Portugal. In this study, we evaluated the impacts of A. longifolia invasion on community structure, light climate, plant diversity and regeneration in pine forests and open stabilized dunes in northern and southern Portugal. Having the growth form of a small tree or shrub, between 1 and 8 m tall, A. longifolia tended to dominate the middle stratum of forests and to share dominance in the upper stratum of open dunes. The presence of A. longifolia was associated with a decreased canopy cover in the lower stratum of all studied habitats, and at some sites with a significantly increased leaf area index and reduced light intensity in the understory. Species number and diversity were reduced in some habitats by up to 50% in invaded compared to non-invaded areas. Furthermore, in forest habitats, A. longifolia seedlings were facilitated by proximity to an adult A. longifolia while the establishment and growth of native seedlings was negatively impacted. The replacement of drought tolerant native species by the water spending invader, A. longifolia, may have serious implications for ecosystem functioning, especially during the prolonged drought periods predicted to occur in Portugal in the future.","container-title":"Biological Invasions","DOI":"10.1007/s10530-011-9949-2","ISSN":"1573-1464","issue":"5","journalAbbreviation":"Biological Invasions","page":"1099-1113","title":"Acacialongifolia invasion impacts vegetation structure and regeneration dynamics in open dunes and pine forests","volume":"13","author":[{"family":"Rascher","given":"Katherine G."},{"family":"Große-Stoltenberg","given":"André"},{"family":"Máguas","given":"Cristina"},{"family":"Meira-Neto","given":"João Augusto Alves"},{"family":"Werner","given":"Christiane"}],"issued":{"date-parts":[["2011",5,1]]}}}],"schema":"https://github.com/citation-style-language/schema/raw/master/csl-citation.json"} </w:instrText>
            </w:r>
            <w:r w:rsidRPr="00C9564D">
              <w:rPr>
                <w:color w:val="000000" w:themeColor="text1"/>
              </w:rPr>
              <w:fldChar w:fldCharType="separate"/>
            </w:r>
            <w:r w:rsidR="00026EED" w:rsidRPr="00026EED">
              <w:t>(Rascher et al. 2011)</w:t>
            </w:r>
            <w:r w:rsidRPr="00C9564D">
              <w:rPr>
                <w:color w:val="000000" w:themeColor="text1"/>
              </w:rPr>
              <w:fldChar w:fldCharType="end"/>
            </w:r>
            <w:r w:rsidR="00830EE5" w:rsidRPr="00C9564D">
              <w:rPr>
                <w:color w:val="000000" w:themeColor="text1"/>
              </w:rPr>
              <w:t>.</w:t>
            </w:r>
          </w:p>
          <w:p w14:paraId="30CA4E44" w14:textId="78049017" w:rsidR="00830EE5" w:rsidRPr="00C9564D" w:rsidRDefault="00830EE5" w:rsidP="00ED117C">
            <w:pPr>
              <w:spacing w:before="120" w:after="120"/>
              <w:jc w:val="both"/>
              <w:rPr>
                <w:color w:val="000000" w:themeColor="text1"/>
              </w:rPr>
            </w:pPr>
            <w:r w:rsidRPr="00C9564D">
              <w:rPr>
                <w:color w:val="000000" w:themeColor="text1"/>
              </w:rPr>
              <w:t>During 19</w:t>
            </w:r>
            <w:r w:rsidRPr="00C9564D">
              <w:rPr>
                <w:color w:val="000000" w:themeColor="text1"/>
                <w:vertAlign w:val="superscript"/>
              </w:rPr>
              <w:t>th</w:t>
            </w:r>
            <w:r w:rsidRPr="00C9564D">
              <w:rPr>
                <w:color w:val="000000" w:themeColor="text1"/>
              </w:rPr>
              <w:t xml:space="preserve"> century, first </w:t>
            </w:r>
            <w:r w:rsidRPr="00C9564D">
              <w:t xml:space="preserve">large-scale plantations of </w:t>
            </w:r>
            <w:r w:rsidRPr="00C9564D">
              <w:rPr>
                <w:i/>
              </w:rPr>
              <w:t>Robinia pseudoacacia</w:t>
            </w:r>
            <w:r w:rsidRPr="00C9564D">
              <w:t xml:space="preserve"> were </w:t>
            </w:r>
            <w:r w:rsidRPr="00C9564D">
              <w:rPr>
                <w:color w:val="000000" w:themeColor="text1"/>
              </w:rPr>
              <w:t xml:space="preserve">established in several European countries (e.g. Hungary, Romania, Austria, Slovakia, Poland) to fix unstable aeolian sands </w:t>
            </w:r>
            <w:r w:rsidRPr="00C9564D">
              <w:t xml:space="preserve">and mitigate the temperature extremes in the soil </w:t>
            </w:r>
            <w:r w:rsidR="00E25924" w:rsidRPr="00C9564D">
              <w:fldChar w:fldCharType="begin"/>
            </w:r>
            <w:r w:rsidR="00E25924" w:rsidRPr="00C9564D">
              <w:instrText xml:space="preserve"> ADDIN ZOTERO_ITEM CSL_CITATION {"citationID":"y7fBn8cn","properties":{"formattedCitation":"(R\\uc0\\u233{}dei et al. 2008; K. R\\uc0\\u233{}dei and I. Veperdi 2009; Nicolescu et al. 2018)","plainCitation":"(Rédei et al. 2008; K. Rédei and I. Veperdi 2009; Nicolescu et al. 2018)","noteIndex":0},"citationItems":[{"id":721,"uris":["http://zotero.org/users/6602900/items/PCFP3CMS"],"uri":["http://zotero.org/users/6602900/items/PCFP3CMS"],"itemData":{"id":721,"type":"article-journal","container-title":"Acta Silvatica et Lignaria Hungarica","journalAbbreviation":"Acta Silvatica et Lignaria Hungarica","page":"127-132","title":"Black locust (Robinia pseudoacacia L.) improvement in Hungary: a review","volume":"4","author":[{"family":"Rédei","given":"Károly"},{"family":"Osvath-Bujtas","given":"Zoltán"},{"family":"Veperdi","given":"Irina"}],"issued":{"date-parts":[["2008"]]}}},{"id":586,"uris":["http://zotero.org/users/6602900/items/FT28V934"],"uri":["http://zotero.org/users/6602900/items/FT28V934"],"itemData":{"id":586,"type":"article-journal","abstract":"Establishment of short-rotation energy plantations for fuel production has been of international interest for many years. Energy plantation experiments in Hungary have been conducted for a longer time. In the country black locust ( Robinia ps eudoacacia L.) is one of the most important stand-forming tree species, covering approximately 23% of the forested land (410 000 ha) and providing about 19% of the annual timber output of the country. This fast growing species seems to be suitable for energy plantations as well. So, in Helvecia (Central­ Hungary, sand-soil region) two energy plantation s were established u sing common black locust and its cultivars improved in Hungary. The spacing variations of the common black locust were: l.5x0.3 m, I .5x0.5 m and l.5x 1.0 m. At the age of 5 the closest spacing ( 1.5x0.3m) produced the greatest annual increment in oven-dry weight (6.5 t ha·1 yr- 1). In the trial with black locust cultivars planted in spacing of 1.5xl.0m, at the age of 7 the highest annual increment in oven-dry mass was produced by the cultivar ' Ulloi' (9.7 t ha-1&amp;nbsp;yr- 1) followed by the common black locust (8.4 t ha-1&amp;nbsp;yr- 1) and the cultivar 'J tiszkiseri (1.6 t ha·1 yr- 1). The trials have verified that in temperate climate the increment in oven­ dry dendromass of black locust energy plantation s has ranged from 6 to 12 t ha·1 yr·1. On the basis of the trials' evaluation the quantity of dendromass mostly depends on site quality, species and cultivars, as well as on the initial spacing (plants per hectare).","container-title":"International Journal of Horticultural Science","DOI":"10.31421/IJHS/15/3/832","issue":"3","journalAbbreviation":"Int. j. hortic. sci.","note":"section: Articles","title":"The role of black locust (Robinia pseudoacacia L.) in establishment of short-rotation energy plantations in Hungary","URL":"https://ojs.lib.unideb.hu/IJHS/article/view/832","volume":"15","author":[{"literal":"K. Rédei"},{"literal":"I. Veperdi"}],"accessed":{"date-parts":[["2020",6,6]]},"issued":{"date-parts":[["2009",5,20]]}}},{"id":600,"uris":["http://zotero.org/users/6602900/items/YZHXUBKH"],"uri":["http://zotero.org/users/6602900/items/YZHXUBKH"],"itemData":{"id":60</w:instrText>
            </w:r>
            <w:r w:rsidR="00E25924" w:rsidRPr="003B2822">
              <w:rPr>
                <w:lang w:val="it-IT"/>
              </w:rPr>
              <w:instrText xml:space="preserve">0,"type":"article-journal","abstract":"Black locust (Robinia pseudoacacia L.) was the first North-American tree species imported to Europe at the beginning of the seventeenth century. It is commonly planted worldwide because of its adaptability to environmental stresses, its valuable wood, easy propagation, frequent and abundant seed production, excellent coppicing, high seedling survival, and relatively high wood yield. In Europe, Romania and Hungary have the most highly-developed black locust growing techniques and experiences. As a result of increasing interest in black locust in many countries, this review aims to provide a comprehensive overview of state-of-the-art site requirements, propagation, improvement and management (including growth and yield as well as use in energy plantations).","container-title":"Journal of Forestry Research","DOI":"10.1007/s11676-018-0626-5","ISSN":"1993-0607","issue":"6","journalAbbreviation":"Journal of Forestry Research","page":"1449-1463","title":"Black locust (Robinia pseudoacacia L.) as a multi-purpose tree species in Hungary and Romania: a review","volume":"29","author":[{"family":"Nicolescu","given":"Valeriu-Norocel"},{"family":"Hernea","given":"Cornelia"},{"family":"Bakti","given":"Beatrix"},{"family":"Keserű","given":"Zsolt"},{"family":"Antal","given":"Borbála"},{"family":"Rédei","given":"Károly"}],"issued":{"date-parts":[["2018",11,1]]}}}],"schema":"https://github.com/citation-style-language/schema/raw/master/csl-citation.json"} </w:instrText>
            </w:r>
            <w:r w:rsidR="00E25924" w:rsidRPr="00C9564D">
              <w:fldChar w:fldCharType="separate"/>
            </w:r>
            <w:r w:rsidR="00026EED" w:rsidRPr="00F06F1E">
              <w:rPr>
                <w:lang w:val="it-IT"/>
              </w:rPr>
              <w:t>(Rédei et al. 2008; K. Rédei and I. Veperdi 2009; Nicolescu et al. 2018)</w:t>
            </w:r>
            <w:r w:rsidR="00E25924" w:rsidRPr="00C9564D">
              <w:fldChar w:fldCharType="end"/>
            </w:r>
            <w:r w:rsidRPr="003B2822">
              <w:rPr>
                <w:color w:val="000000" w:themeColor="text1"/>
                <w:lang w:val="it-IT"/>
              </w:rPr>
              <w:t xml:space="preserve">. </w:t>
            </w:r>
            <w:r w:rsidRPr="00C9564D">
              <w:rPr>
                <w:color w:val="000000" w:themeColor="text1"/>
              </w:rPr>
              <w:t xml:space="preserve">At present, </w:t>
            </w:r>
            <w:r w:rsidRPr="00C9564D">
              <w:rPr>
                <w:i/>
                <w:color w:val="000000" w:themeColor="text1"/>
              </w:rPr>
              <w:t>Robinia</w:t>
            </w:r>
            <w:r w:rsidRPr="00C9564D">
              <w:rPr>
                <w:color w:val="000000" w:themeColor="text1"/>
              </w:rPr>
              <w:t xml:space="preserve"> is a great threat for native open sandy grasslands with many rare species.</w:t>
            </w:r>
            <w:r w:rsidR="00E25924" w:rsidRPr="00C9564D">
              <w:rPr>
                <w:color w:val="000000" w:themeColor="text1"/>
              </w:rPr>
              <w:t xml:space="preserve"> </w:t>
            </w:r>
            <w:r w:rsidR="00E25924" w:rsidRPr="00C9564D">
              <w:t xml:space="preserve">Changes in </w:t>
            </w:r>
            <w:r w:rsidR="00E25924" w:rsidRPr="00C9564D">
              <w:rPr>
                <w:rFonts w:eastAsia="AdvGulliv-R"/>
              </w:rPr>
              <w:t xml:space="preserve">light regime, microclimate and soil conditions </w:t>
            </w:r>
            <w:r w:rsidR="00E25924" w:rsidRPr="00C9564D">
              <w:t xml:space="preserve">after </w:t>
            </w:r>
            <w:r w:rsidR="00E25924" w:rsidRPr="00C9564D">
              <w:rPr>
                <w:rStyle w:val="Info"/>
                <w:rFonts w:eastAsia="SimSun"/>
                <w:i/>
              </w:rPr>
              <w:t>Robinia</w:t>
            </w:r>
            <w:r w:rsidR="00E25924" w:rsidRPr="00C9564D">
              <w:rPr>
                <w:rStyle w:val="Info"/>
                <w:rFonts w:eastAsia="SimSun"/>
              </w:rPr>
              <w:t xml:space="preserve"> invasion </w:t>
            </w:r>
            <w:r w:rsidR="00E25924" w:rsidRPr="00C9564D">
              <w:t>cause extinction of many endangered</w:t>
            </w:r>
            <w:r w:rsidR="00E25924" w:rsidRPr="00C9564D">
              <w:rPr>
                <w:i/>
              </w:rPr>
              <w:t xml:space="preserve"> </w:t>
            </w:r>
            <w:r w:rsidR="00E25924" w:rsidRPr="00C9564D">
              <w:rPr>
                <w:rStyle w:val="Info"/>
                <w:rFonts w:eastAsia="SimSun"/>
              </w:rPr>
              <w:t>light-demanding</w:t>
            </w:r>
            <w:r w:rsidR="00E25924" w:rsidRPr="00C9564D">
              <w:t xml:space="preserve"> plants and invertebrates from </w:t>
            </w:r>
            <w:r w:rsidR="00E25924" w:rsidRPr="00C9564D">
              <w:rPr>
                <w:rStyle w:val="Info"/>
                <w:rFonts w:eastAsia="SimSun"/>
              </w:rPr>
              <w:t>dry</w:t>
            </w:r>
            <w:r w:rsidR="00E25924" w:rsidRPr="00C9564D">
              <w:t xml:space="preserve"> and semi-dry grasslands </w:t>
            </w:r>
            <w:r w:rsidR="00E25924" w:rsidRPr="00C9564D">
              <w:fldChar w:fldCharType="begin"/>
            </w:r>
            <w:r w:rsidR="00E25924" w:rsidRPr="00C9564D">
              <w:instrText xml:space="preserve"> ADDIN ZOTERO_ITEM CSL_CITATION {"citationID":"UFBMxj5f","properties":{"formattedCitation":"(S\\uc0\\u225{}dlo et al. 2017; V\\uc0\\u237{}tkov\\uc0\\u225{} et al. 2020)","plainCitation":"(Sádlo et al. 2017; Vítková et al. 2020)","noteIndex":0},"citationItems":[{"id":344,"uris":["http://zotero.org/users/6602900/items/8ACRLFNG"],"uri":["http://zotero.org/users/6602900/items/8ACRLFNG"],"itemData":{"id":344,"type":"article-journal","abstract":"Robinia pseudoacacia L. (black locust) is a North American tree, considered controversial because of the conflict between multiple uses by humans and negative environmental impacts, which have resulted in it being listed among the most invasive species in Europe. The current management of Robinia stands in Central Europe varies locally according to national legislation, preferring either socio-economic benefits or biodiversity impacts.","container-title":"NeoBiota","DOI":"10.3897/neobiota.35.11909","ISSN":"1314-2488, 1619-0033","journalAbbreviation":"NB","language":"en","page":"1-34","source":"DOI.org (Crossref)","title":"Towards site-specific management of invasive alien trees based on the assessment of their impacts: the case of Robinia pseudoacacia","title-short":"Towards site-specific management of invasive alien trees based on the assessment of their impacts","volume":"35","author":[{"family":"Sádlo","given":"Jiří"},{"family":"Vítková","given":"Michaela"},{"family":"Pergl","given":"Jan"},{"family":"Pyšek","given":"Petr"}],"issued":{"date-parts":[["2017",6,2]]}}},{"id":194,"uris":["http://zotero.org/users/6602900/items/UWI5DUD7"],"uri":["http://zotero.org/users/6602900/items/UWI5DUD7"],"itemData":{"id":194,"type":"article-journal","abstract":"Knowledge of the species composition of invaded vegetation helps to evaluate an ecological impact of aliens and design an optimal management strategy. We link a new vegetation analysis of a large dataset to the invasion history, ecology and management of Robinia pseudoacacia stands across Southern Europe and provide a map illustrating Robinia distribution. Finally, we compare detected relationships with Central Europe. We show that regional differences in Robinia invasion, distribution, habitats and management are driven both by local natural conditions (climate and soil properties, low competitive ability with native trees) and socioeconomic factors (traditional land-use). Based on the classification of 467 phytosociological relevés we distinguished five broad vegetation types reflecting an oceanity−continentality gradient. The stands were heterogeneous and included 824 taxa, with only 5.8% occurring in more than 10% of samples, representing mainly hemerobic generalists of mesophilous, nutrient-rich and semi-shady habitats. The most common were dry ruderal stands invading human-made habitats. Among native communities, disturbed mesic and alluvial forests were often invaded throughout the area, while dry forests and scrub dominated in Balkan countries. Continuous, long-term and large-scale cultivation represent a crucial factor driving Robinia invasions in natural habitats. Its invasion should be mitigated by suitable management taking into account adjacent habitats and changing cultivation practices to select for native species. Robinia invasion has a comparable pattern in Central and Southern Europe, but there is a substantial difference in management and utilization causing heterogeneity of many South-European stands.","container-title":"Science of The Total Environment","DOI":"10.1016/j.scitotenv.2019.134857","ISSN":"0048-9697","journalAbbreviation":"Science of The Total Environment","page":"134857","title":"Robinia pseudoacacia-dominated vegetation types of Southern Europe: Species composition, history, distribution and management","volume":"707","author":[{"family":"Vítková","given":"Michaela"},{"family":"Sádlo","given":"Jiří"},{"family":"Roleček","given":"Jan"},{"family":"Petřík","given":"Petr"},{"family":"Sitzia","given":"Tommaso"},{"family":"Müllerová","given":"Jana"},{"family":"Pyšek","given":"Petr"}],"issued":{"date-parts":[["2020",3,10]]}}}],"schema":"https://github.com/citation-style-language/schema/raw/master/csl-citation.json"} </w:instrText>
            </w:r>
            <w:r w:rsidR="00E25924" w:rsidRPr="00C9564D">
              <w:fldChar w:fldCharType="separate"/>
            </w:r>
            <w:r w:rsidR="00026EED" w:rsidRPr="00026EED">
              <w:t>(Sádlo et al. 2017; Vítková et al. 2020)</w:t>
            </w:r>
            <w:r w:rsidR="00E25924" w:rsidRPr="00C9564D">
              <w:fldChar w:fldCharType="end"/>
            </w:r>
            <w:r w:rsidR="00E25924" w:rsidRPr="00C9564D">
              <w:rPr>
                <w:rStyle w:val="Info"/>
                <w:rFonts w:eastAsia="SimSun"/>
              </w:rPr>
              <w:t>.</w:t>
            </w:r>
          </w:p>
        </w:tc>
      </w:tr>
      <w:tr w:rsidR="00830EE5" w:rsidRPr="00C9564D" w14:paraId="410D01FD" w14:textId="77777777" w:rsidTr="00830EE5">
        <w:tc>
          <w:tcPr>
            <w:tcW w:w="1798" w:type="dxa"/>
          </w:tcPr>
          <w:p w14:paraId="360E3859" w14:textId="0FF18C38" w:rsidR="00830EE5" w:rsidRPr="00C9564D" w:rsidRDefault="00830EE5" w:rsidP="00D06125">
            <w:pPr>
              <w:spacing w:before="120" w:after="120"/>
              <w:rPr>
                <w:b/>
                <w:bCs/>
                <w:color w:val="000000" w:themeColor="text1"/>
              </w:rPr>
            </w:pPr>
            <w:r w:rsidRPr="00C9564D">
              <w:rPr>
                <w:b/>
                <w:color w:val="000000" w:themeColor="text1"/>
              </w:rPr>
              <w:lastRenderedPageBreak/>
              <w:t>Colonizers of intertidal mudflats /sediment stabilizers</w:t>
            </w:r>
          </w:p>
        </w:tc>
        <w:tc>
          <w:tcPr>
            <w:tcW w:w="1887" w:type="dxa"/>
          </w:tcPr>
          <w:p w14:paraId="6E5FC3C5" w14:textId="10B70C15" w:rsidR="00830EE5" w:rsidRPr="00C9564D" w:rsidRDefault="00830EE5" w:rsidP="00E25924">
            <w:pPr>
              <w:spacing w:before="120" w:after="120"/>
              <w:rPr>
                <w:color w:val="000000" w:themeColor="text1"/>
              </w:rPr>
            </w:pPr>
            <w:r w:rsidRPr="00C9564D">
              <w:rPr>
                <w:color w:val="000000" w:themeColor="text1"/>
              </w:rPr>
              <w:t xml:space="preserve">(11) </w:t>
            </w:r>
            <w:r w:rsidR="00BF028C" w:rsidRPr="00C9564D">
              <w:rPr>
                <w:color w:val="000000" w:themeColor="text1"/>
              </w:rPr>
              <w:t>S</w:t>
            </w:r>
            <w:r w:rsidRPr="00C9564D">
              <w:rPr>
                <w:color w:val="000000" w:themeColor="text1"/>
              </w:rPr>
              <w:t>tructural impact on ecosystem</w:t>
            </w:r>
          </w:p>
        </w:tc>
        <w:tc>
          <w:tcPr>
            <w:tcW w:w="10710" w:type="dxa"/>
          </w:tcPr>
          <w:p w14:paraId="56837EFD" w14:textId="72000619" w:rsidR="00830EE5" w:rsidRPr="00C9564D" w:rsidRDefault="00830EE5" w:rsidP="00E25924">
            <w:pPr>
              <w:spacing w:before="120" w:after="120"/>
              <w:jc w:val="both"/>
              <w:rPr>
                <w:color w:val="000000" w:themeColor="text1"/>
              </w:rPr>
            </w:pPr>
            <w:r w:rsidRPr="00C9564D">
              <w:rPr>
                <w:color w:val="000000" w:themeColor="text1"/>
              </w:rPr>
              <w:t>In their native range, mangroves are ecosystem engineers, strongly modifying their environment and providing important ecosystem services, including shoreline protection, entrapment of heavy metals, sediment stabilization, litterfall subsidy, and nursery grounds</w:t>
            </w:r>
            <w:r w:rsidR="00ED117C" w:rsidRPr="00C9564D">
              <w:rPr>
                <w:color w:val="000000" w:themeColor="text1"/>
              </w:rPr>
              <w:t xml:space="preserve"> </w:t>
            </w:r>
            <w:r w:rsidR="00ED117C" w:rsidRPr="00C9564D">
              <w:rPr>
                <w:color w:val="000000" w:themeColor="text1"/>
              </w:rPr>
              <w:fldChar w:fldCharType="begin"/>
            </w:r>
            <w:r w:rsidR="00ED117C" w:rsidRPr="00C9564D">
              <w:rPr>
                <w:color w:val="000000" w:themeColor="text1"/>
              </w:rPr>
              <w:instrText xml:space="preserve"> ADDIN ZOTERO_ITEM CSL_CITATION {"citationID":"6HGQ4Tlj","properties":{"formattedCitation":"(Siple and Donahue 2013)","plainCitation":"(Siple and Donahue 2013)","noteIndex":0},"citationItems":[{"id":604,"uris":["http://zotero.org/users/6602900/items/Y2JALJA9"],"uri":["http://zotero.org/users/6602900/items/Y2JALJA9"],"itemData":{"id":604,"type":"article-journal","abstract":"Red mangrove (Rhizophora mangle) was introduced to Hawai'i in 1902 and has since overgrown many coastal areas in Hawai'i, transforming nearshore sandy habitat into heavily vegetated areas with low water velocity, high sedimentation rates, and anoxic sediments. Introduced mangrove forests provide habitat for exotic species, including burrowing predators, which can exert top-down effects on benthic communities. Removal of mangrove overstory is a popular management technique, and, here, we study community change over a chronosequence of mangrove removals from 2007 to 2011, investigating infaunal community structure, crab abundance, and response to predator exclusion in the presence of mangrove overstory and along the chronosequence of removals. Overstory removal results in gradual changes in community composition concurrent with slow decomposition of sedimentary mangrove biomass (k=0.36±0.06×10−3d−1). Changes over time after removal include an increase in total infaunal abundance, a decrease in sub-surface deposit feeders, and an increase in suspension-feeding worms. Burrowing crab densities are uniform across mangrove and removal sites, and, unlike in native mangroves, their effects on infaunal communities are similarly negligible in both mangrove and removal areas. These results show that recovery from invasion and removal occurs gradually and is not governed by top-down effects.","container-title":"Journal of Experimental Marine Biology and Ecology","DOI":"10.1016/j.jembe.2013.06.008","ISSN":"0022-0981","journalAbbreviation":"Journal of Experimental Marine Biology and Ecology","page":"128-135","title":"Invasive mangrove removal and recovery: Food web effects across a chronosequence","volume":"448","author":[{"family":"Siple","given":"Margaret C."},{"family":"Donahue","given":"Megan J."}],"issued":{"date-parts":[["2013",10,1]]}}}],"schema":"https://github.com/citation-style-language/schema/raw/master/csl-citation.json"} </w:instrText>
            </w:r>
            <w:r w:rsidR="00ED117C" w:rsidRPr="00C9564D">
              <w:rPr>
                <w:color w:val="000000" w:themeColor="text1"/>
              </w:rPr>
              <w:fldChar w:fldCharType="separate"/>
            </w:r>
            <w:r w:rsidR="00026EED" w:rsidRPr="00026EED">
              <w:t>(Siple and Donahue 2013)</w:t>
            </w:r>
            <w:r w:rsidR="00ED117C" w:rsidRPr="00C9564D">
              <w:rPr>
                <w:color w:val="000000" w:themeColor="text1"/>
              </w:rPr>
              <w:fldChar w:fldCharType="end"/>
            </w:r>
            <w:r w:rsidRPr="00C9564D">
              <w:rPr>
                <w:color w:val="000000" w:themeColor="text1"/>
              </w:rPr>
              <w:t xml:space="preserve">. In their introduced range, these </w:t>
            </w:r>
            <w:r w:rsidR="00ED117C" w:rsidRPr="00C9564D">
              <w:rPr>
                <w:color w:val="000000" w:themeColor="text1"/>
              </w:rPr>
              <w:t>NNTs</w:t>
            </w:r>
            <w:r w:rsidRPr="00C9564D">
              <w:rPr>
                <w:color w:val="000000" w:themeColor="text1"/>
              </w:rPr>
              <w:t xml:space="preserve"> must be weighed against impacts on native ecosystems: In Hawai'i, alien mangroves create habitats dramatically distinct from the sandflats inhabited by the few native coastal macrophytes, transforming nearshore sandy habitat into heavily vegetated areas protected from oceanic erosion with low water velocity, high sedimentation rates, and anoxic sediments. Alien mangrove forests provide habitat for alien species, including burrowing predators, which can exert top-down effects on benthic communities </w:t>
            </w:r>
            <w:r w:rsidR="00ED117C" w:rsidRPr="00C9564D">
              <w:rPr>
                <w:color w:val="000000" w:themeColor="text1"/>
              </w:rPr>
              <w:fldChar w:fldCharType="begin"/>
            </w:r>
            <w:r w:rsidR="00ED117C" w:rsidRPr="00C9564D">
              <w:rPr>
                <w:color w:val="000000" w:themeColor="text1"/>
              </w:rPr>
              <w:instrText xml:space="preserve"> ADDIN ZOTERO_ITEM CSL_CITATION {"citationID":"ELafIb5z","properties":{"formattedCitation":"(Siple and Donahue 2013)","plainCitation":"(Siple and Donahue 2013)","noteIndex":0},"citationItems":[{"id":604,"uris":["http://zotero.org/users/6602900/items/Y2JALJA9"],"uri":["http://zotero.org/users/6602900/items/Y2JALJA9"],"itemData":{"id":604,"type":"article-journal","abstract":"Red mangrove (Rhizophora mangle) was introduced to Hawai'i in 1902 and has since overgrown many coastal areas in Hawai'i, transforming nearshore sandy habitat into heavily vegetated areas with low water velocity, high sedimentation rates, and anoxic sediments. Introduced mangrove forests provide habitat for exotic species, including burrowing predators, which can exert top-down effects on benthic communities. Removal of mangrove overstory is a popular management technique, and, here, we study community change over a chronosequence of mangrove removals from 2007 to 2011, investigating infaunal community structure, crab abundance, and response to predator exclusion in the presence of mangrove overstory and along the chronosequence of removals. Overstory removal results in gradual changes in community composition concurrent with slow decomposition of sedimentary mangrove biomass (k=0.36±0.06×10−3d−1). Changes over time after removal include an increase in total infaunal abundance, a decrease in sub-surface deposit feeders, and an increase in suspension-feeding worms. Burrowing crab densities are uniform across mangrove and removal sites, and, unlike in native mangroves, their effects on infaunal communities are similarly negligible in both mangrove and removal areas. These results show that recovery from invasion and removal occurs gradually and is not governed by top-down effects.","container-title":"Journal of Experimental Marine Biology and Ecology","DOI":"10.1016/j.jembe.2013.06.008","ISSN":"0022-0981","journalAbbreviation":"Journal of Experimental Marine Biology and Ecology","page":"128-135","title":"Invasive mangrove removal and recovery: Food web effects across a chronosequence","volume":"448","author":[{"family":"Siple","given":"Margaret C."},{"family":"Donahue","given":"Megan J."}],"issued":{"date-parts":[["2013",10,1]]}}}],"schema":"https://github.com/citation-style-language/schema/raw/master/csl-citation.json"} </w:instrText>
            </w:r>
            <w:r w:rsidR="00ED117C" w:rsidRPr="00C9564D">
              <w:rPr>
                <w:color w:val="000000" w:themeColor="text1"/>
              </w:rPr>
              <w:fldChar w:fldCharType="separate"/>
            </w:r>
            <w:r w:rsidR="00026EED" w:rsidRPr="00026EED">
              <w:t>(Siple and Donahue 2013)</w:t>
            </w:r>
            <w:r w:rsidR="00ED117C" w:rsidRPr="00C9564D">
              <w:rPr>
                <w:color w:val="000000" w:themeColor="text1"/>
              </w:rPr>
              <w:fldChar w:fldCharType="end"/>
            </w:r>
            <w:r w:rsidRPr="00C9564D">
              <w:rPr>
                <w:color w:val="000000" w:themeColor="text1"/>
              </w:rPr>
              <w:t>.</w:t>
            </w:r>
          </w:p>
          <w:p w14:paraId="3D93AC99" w14:textId="17F6D19E" w:rsidR="00ED117C" w:rsidRPr="00C9564D" w:rsidRDefault="00ED117C" w:rsidP="00E25924">
            <w:pPr>
              <w:spacing w:before="120" w:after="120"/>
              <w:jc w:val="both"/>
              <w:rPr>
                <w:color w:val="000000" w:themeColor="text1"/>
              </w:rPr>
            </w:pPr>
            <w:r w:rsidRPr="00C9564D">
              <w:rPr>
                <w:color w:val="000000" w:themeColor="text1"/>
              </w:rPr>
              <w:t xml:space="preserve">Plantation of fast-growing non-native mangrove species has been used as a tool for mangrove restoration/reforestation in several countries. However, the fast-growth ability can make recently introduced species invasive as they can possibly replace co-occurring native mangroves through expressing higher growth performance and phenotypic plasticity </w:t>
            </w:r>
            <w:r w:rsidRPr="00C9564D">
              <w:rPr>
                <w:color w:val="000000" w:themeColor="text1"/>
              </w:rPr>
              <w:fldChar w:fldCharType="begin"/>
            </w:r>
            <w:r w:rsidRPr="00C9564D">
              <w:rPr>
                <w:color w:val="000000" w:themeColor="text1"/>
              </w:rPr>
              <w:instrText xml:space="preserve"> ADDIN ZOTERO_ITEM CSL_CITATION {"citationID":"30xdnbNg","properties":{"formattedCitation":"(Fazlioglu and Chen 2020)","plainCitation":"(Fazlioglu and Chen 2020)","noteIndex":0},"citationItems":[{"id":724,"uris":["http://zotero.org/users/6602900/items/VTJVSIVF"],"uri":["http://zotero.org/users/6602900/items/VTJVSIVF"],"itemData":{"id":724,"type":"article-journal","abstract":"Mangroves are salt-tolerant woody species occurring in tropical/subtropical coastal habitats. Plantation of fast-growing non-native mangrove species has been used as a tool for mangrove restoration/reforestation in several countries. However, the fast-growth ability can make recently introduced species invasive as they can possibly replace co-occurring native mangroves through expressing higher growth performance and phenotypic plasticity. Therefore, quantifying growth differences between native versus non-native mangrove species is important for forest ecology and management. In this meta-analysis, we compared the growth performance of non-native and native mangrove species pairs by analysing all available results in the literature (33 studies). We found that non-native mangrove species performed better than co-occurring native mangrove species in their introduced regions (Log response ratio = 0.51 ± 0.05) and they also expressed higher trait plasticity. Therefore, these species can be potentially invasive owing to their greater competitive advantage. However, the growth difference was diminished at higher latitudes where native mangrove species seem to perform as well as non-native mangrove species do. This is the first meta-analysis on the growth response of mangroves and it has consequential management implications. We suggest that planting of non-native mangrove species should be avoided and their spread should be monitored.","container-title":"Scientific Reports","DOI":"10.1038/s41598-020-60454-z","ISSN":"2045-2322","issue":"1","journalAbbreviation":"Scientific Reports","page":"3854","title":"Introduced non-native mangroves express better growth performance than co-occurring native mangroves","volume":"10","author":[{"family":"Fazlioglu","given":"Fatih"},{"family":"Chen","given":"Luzhen"}],"issued":{"date-parts":[["2020",3,2]]}}}],"schema":"https://github.com/citation-style-language/schema/raw/master/csl-citation.json"} </w:instrText>
            </w:r>
            <w:r w:rsidRPr="00C9564D">
              <w:rPr>
                <w:color w:val="000000" w:themeColor="text1"/>
              </w:rPr>
              <w:fldChar w:fldCharType="separate"/>
            </w:r>
            <w:r w:rsidR="00026EED" w:rsidRPr="00026EED">
              <w:t>(Fazlioglu and Chen 2020)</w:t>
            </w:r>
            <w:r w:rsidRPr="00C9564D">
              <w:rPr>
                <w:color w:val="000000" w:themeColor="text1"/>
              </w:rPr>
              <w:fldChar w:fldCharType="end"/>
            </w:r>
            <w:r w:rsidRPr="00C9564D">
              <w:rPr>
                <w:color w:val="000000" w:themeColor="text1"/>
              </w:rPr>
              <w:t>.</w:t>
            </w:r>
          </w:p>
          <w:p w14:paraId="570DA202" w14:textId="776D1670" w:rsidR="00830EE5" w:rsidRPr="00C9564D" w:rsidRDefault="00830EE5" w:rsidP="00E25924">
            <w:pPr>
              <w:spacing w:before="120" w:after="120"/>
              <w:jc w:val="both"/>
              <w:rPr>
                <w:color w:val="000000" w:themeColor="text1"/>
              </w:rPr>
            </w:pPr>
            <w:r w:rsidRPr="00C9564D">
              <w:rPr>
                <w:color w:val="000000" w:themeColor="text1"/>
              </w:rPr>
              <w:t>Red mangrove (</w:t>
            </w:r>
            <w:r w:rsidRPr="00C9564D">
              <w:rPr>
                <w:i/>
                <w:color w:val="000000" w:themeColor="text1"/>
              </w:rPr>
              <w:t>Rhizophora mangle</w:t>
            </w:r>
            <w:r w:rsidRPr="00C9564D">
              <w:rPr>
                <w:color w:val="000000" w:themeColor="text1"/>
              </w:rPr>
              <w:t xml:space="preserve">) was introduced to Hawai'i in 1902 to control runoff from upstream agriculture. Other species of alien mangrove have been introduced to Hawai'i, but </w:t>
            </w:r>
            <w:r w:rsidRPr="00C9564D">
              <w:rPr>
                <w:i/>
                <w:color w:val="000000" w:themeColor="text1"/>
              </w:rPr>
              <w:t xml:space="preserve">R. mangle </w:t>
            </w:r>
            <w:r w:rsidRPr="00C9564D">
              <w:rPr>
                <w:color w:val="000000" w:themeColor="text1"/>
              </w:rPr>
              <w:t xml:space="preserve">is the most successful, occupying coastal habitats throughout the main Hawaiian Islands, including estuarine fishpond sites developed for aquaculture by native Hawaiians as early as 1000 C.E. </w:t>
            </w:r>
            <w:r w:rsidR="00ED117C" w:rsidRPr="00C9564D">
              <w:rPr>
                <w:color w:val="000000" w:themeColor="text1"/>
              </w:rPr>
              <w:fldChar w:fldCharType="begin"/>
            </w:r>
            <w:r w:rsidR="00ED117C" w:rsidRPr="00C9564D">
              <w:rPr>
                <w:color w:val="000000" w:themeColor="text1"/>
              </w:rPr>
              <w:instrText xml:space="preserve"> ADDIN ZOTERO_ITEM CSL_CITATION {"citationID":"m1OPNaOn","properties":{"formattedCitation":"(Siple and Donahue 2013)","plainCitation":"(Siple and Donahue 2013)","noteIndex":0},"citationItems":[{"id":604,"uris":["http://zotero.org/users/6602900/items/Y2JALJA9"],"uri":["http://zotero.org/users/6602900/items/Y2JALJA9"],"itemData":{"id":604,"type":"article-journal","abstract":"Red mangrove (Rhizophora mangle) was introduced to Hawai'i in 1902 and has since overgrown many coastal areas in Hawai'i, transforming nearshore sandy habitat into heavily vegetated areas with low water velocity, high sedimentation rates, and anoxic sediments. Introduced mangrove forests provide habitat for exotic species, including burrowing predators, which can exert top-down effects on benthic communities. Removal of mangrove overstory is a popular management technique, and, here, we study community change over a chronosequence of mangrove removals from 2007 to 2011, investigating infaunal community structure, crab abundance, and response to predator exclusion in the presence of mangrove overstory and along the chronosequence of removals. Overstory removal results in gradual changes in community composition concurrent with slow decomposition of sedimentary mangrove biomass (k=0.36±0.06×10−3d−1). Changes over time after removal include an increase in total infaunal abundance, a decrease in sub-surface deposit feeders, and an increase in suspension-feeding worms. Burrowing crab densities are uniform across mangrove and removal sites, and, unlike in native mangroves, their effects on infaunal communities are similarly negligible in both mangrove and removal areas. These results show that recovery from invasion and removal occurs gradually and is not governed by top-down effects.","container-title":"Journal of Experimental Marine Biology and Ecology","DOI":"10.1016/j.jembe.2013.06.008","ISSN":"0022-0981","journalAbbreviation":"Journal of Experimental Marine Biology and Ecology","page":"128-135","title":"Invasive mangrove removal and recovery: Food web effects across a chronosequence","volume":"448","author":[{"family":"Siple","given":"Margaret C."},{"family":"Donahue","given":"Megan J."}],"issued":{"date-parts":[["2013",10,1]]}}}],"schema":"https://github.com/citation-style-language/schema/raw/master/csl-citation.json"} </w:instrText>
            </w:r>
            <w:r w:rsidR="00ED117C" w:rsidRPr="00C9564D">
              <w:rPr>
                <w:color w:val="000000" w:themeColor="text1"/>
              </w:rPr>
              <w:fldChar w:fldCharType="separate"/>
            </w:r>
            <w:r w:rsidR="00026EED" w:rsidRPr="00026EED">
              <w:t>(Siple and Donahue 2013)</w:t>
            </w:r>
            <w:r w:rsidR="00ED117C" w:rsidRPr="00C9564D">
              <w:rPr>
                <w:color w:val="000000" w:themeColor="text1"/>
              </w:rPr>
              <w:fldChar w:fldCharType="end"/>
            </w:r>
            <w:r w:rsidRPr="00C9564D">
              <w:rPr>
                <w:color w:val="000000" w:themeColor="text1"/>
              </w:rPr>
              <w:t>.</w:t>
            </w:r>
          </w:p>
        </w:tc>
      </w:tr>
      <w:tr w:rsidR="00830EE5" w:rsidRPr="00C9564D" w14:paraId="35F7CE56" w14:textId="77777777" w:rsidTr="00830EE5">
        <w:tc>
          <w:tcPr>
            <w:tcW w:w="1798" w:type="dxa"/>
          </w:tcPr>
          <w:p w14:paraId="2B1229E4" w14:textId="77777777" w:rsidR="00830EE5" w:rsidRPr="00C9564D" w:rsidRDefault="00830EE5" w:rsidP="00D06125">
            <w:pPr>
              <w:spacing w:before="120" w:after="120"/>
              <w:rPr>
                <w:b/>
                <w:color w:val="000000" w:themeColor="text1"/>
              </w:rPr>
            </w:pPr>
            <w:r w:rsidRPr="00C9564D">
              <w:rPr>
                <w:b/>
                <w:color w:val="000000" w:themeColor="text1"/>
              </w:rPr>
              <w:t>Litter accumulators</w:t>
            </w:r>
          </w:p>
        </w:tc>
        <w:tc>
          <w:tcPr>
            <w:tcW w:w="1887" w:type="dxa"/>
          </w:tcPr>
          <w:p w14:paraId="20233E87" w14:textId="4AB3AA73" w:rsidR="00830EE5" w:rsidRPr="00C9564D" w:rsidRDefault="00830EE5" w:rsidP="00E25924">
            <w:pPr>
              <w:spacing w:before="120" w:after="120"/>
              <w:rPr>
                <w:color w:val="000000" w:themeColor="text1"/>
              </w:rPr>
            </w:pPr>
            <w:r w:rsidRPr="00C9564D">
              <w:rPr>
                <w:color w:val="000000" w:themeColor="text1"/>
              </w:rPr>
              <w:t xml:space="preserve">(10) </w:t>
            </w:r>
            <w:r w:rsidR="00BF028C" w:rsidRPr="00C9564D">
              <w:rPr>
                <w:color w:val="000000" w:themeColor="text1"/>
              </w:rPr>
              <w:t>P</w:t>
            </w:r>
            <w:r w:rsidRPr="00C9564D">
              <w:rPr>
                <w:color w:val="000000" w:themeColor="text1"/>
              </w:rPr>
              <w:t>hysical impact on ecosystem</w:t>
            </w:r>
          </w:p>
        </w:tc>
        <w:tc>
          <w:tcPr>
            <w:tcW w:w="10710" w:type="dxa"/>
          </w:tcPr>
          <w:p w14:paraId="460C7A49" w14:textId="3687F3B9" w:rsidR="00830EE5" w:rsidRPr="00C9564D" w:rsidRDefault="00830EE5" w:rsidP="00E25924">
            <w:pPr>
              <w:spacing w:before="120" w:after="120"/>
              <w:jc w:val="both"/>
              <w:rPr>
                <w:color w:val="000000" w:themeColor="text1"/>
              </w:rPr>
            </w:pPr>
            <w:r w:rsidRPr="00C9564D">
              <w:rPr>
                <w:color w:val="000000" w:themeColor="text1"/>
              </w:rPr>
              <w:t xml:space="preserve">The North American </w:t>
            </w:r>
            <w:r w:rsidRPr="00C9564D">
              <w:rPr>
                <w:i/>
                <w:color w:val="000000" w:themeColor="text1"/>
              </w:rPr>
              <w:t>Pinus strobus</w:t>
            </w:r>
            <w:r w:rsidRPr="00C9564D">
              <w:rPr>
                <w:color w:val="000000" w:themeColor="text1"/>
              </w:rPr>
              <w:t xml:space="preserve"> invades both natural </w:t>
            </w:r>
            <w:r w:rsidRPr="00C9564D">
              <w:rPr>
                <w:i/>
                <w:color w:val="000000" w:themeColor="text1"/>
              </w:rPr>
              <w:t>P. sylvestris</w:t>
            </w:r>
            <w:r w:rsidRPr="00C9564D">
              <w:rPr>
                <w:color w:val="000000" w:themeColor="text1"/>
              </w:rPr>
              <w:t xml:space="preserve"> forests and planted forests of the latter species in sandstone areas of the Czech Republic. </w:t>
            </w:r>
            <w:r w:rsidRPr="00C9564D">
              <w:rPr>
                <w:i/>
                <w:color w:val="000000" w:themeColor="text1"/>
              </w:rPr>
              <w:t>Pinus</w:t>
            </w:r>
            <w:r w:rsidRPr="00C9564D">
              <w:rPr>
                <w:color w:val="000000" w:themeColor="text1"/>
              </w:rPr>
              <w:t xml:space="preserve"> </w:t>
            </w:r>
            <w:r w:rsidRPr="00C9564D">
              <w:rPr>
                <w:i/>
                <w:color w:val="000000" w:themeColor="text1"/>
              </w:rPr>
              <w:t>strobus</w:t>
            </w:r>
            <w:r w:rsidRPr="00C9564D">
              <w:rPr>
                <w:color w:val="000000" w:themeColor="text1"/>
              </w:rPr>
              <w:t xml:space="preserve"> produces greater quantities of more slowly decomposing litter than its native congener which has a major effect on soil acidity. Under such conditions, </w:t>
            </w:r>
            <w:r w:rsidRPr="00C9564D">
              <w:rPr>
                <w:i/>
                <w:color w:val="000000" w:themeColor="text1"/>
              </w:rPr>
              <w:t>P. strobus</w:t>
            </w:r>
            <w:r w:rsidRPr="00C9564D">
              <w:rPr>
                <w:color w:val="000000" w:themeColor="text1"/>
              </w:rPr>
              <w:t xml:space="preserve"> regenerates better than </w:t>
            </w:r>
            <w:r w:rsidRPr="00C9564D">
              <w:rPr>
                <w:i/>
                <w:color w:val="000000" w:themeColor="text1"/>
              </w:rPr>
              <w:t>P. sylvestris</w:t>
            </w:r>
            <w:r w:rsidRPr="00C9564D">
              <w:rPr>
                <w:color w:val="000000" w:themeColor="text1"/>
              </w:rPr>
              <w:t xml:space="preserve"> which contributes to its success as an alien invader </w:t>
            </w:r>
            <w:r w:rsidR="005F1F35" w:rsidRPr="00C9564D">
              <w:rPr>
                <w:color w:val="000000" w:themeColor="text1"/>
              </w:rPr>
              <w:fldChar w:fldCharType="begin"/>
            </w:r>
            <w:r w:rsidR="005F1F35" w:rsidRPr="00C9564D">
              <w:rPr>
                <w:color w:val="000000" w:themeColor="text1"/>
              </w:rPr>
              <w:instrText xml:space="preserve"> ADDIN ZOTERO_ITEM CSL_CITATION {"citationID":"ZX7JjyTh","properties":{"formattedCitation":"(Py\\uc0\\u353{}ek and Prach 2003)","plainCitation":"(Pyšek and Prach 2003)","noteIndex":0},"citationItems":[{"id":588,"uris":["http://zotero.org/users/6602900/items/ZVXD3WV9"],"uri":["http://zotero.org/users/6602900/items/ZVXD3WV9"],"itemData":{"id":588,"type":"article-journal","abstract":"The Czech Republic is a central European country whose geographical location, natural conditions, history of human settlement, and present land-use management make it relatively prone to plant invasions, hence it represents a convenient model for their study. Research in plant invasions, which date to the late 19th century, is reviewed in the present paper. A long-term floristic tradition allowed for the accumulation of a large body of floristic data on alien plants. During the 1960s–1970s, the main research focus was on their distribution. In this period, attempts were also made to predict potential invasiveness of weeds of arable land. The success rate of this prediction was about 39%. Considerable effort was put into a detailed classification of human-accompanying plants and the terminology associated with the issue. There is a high level of taxonomic research conducted in the country, and the new Flora of the Czech Republic treats the immigration status of taxa with reasonable care and detail. A complete, serious catalogue of the alien plants of the country has been published recently: there are currently 1378 alien plants (33.4% of the total flora). The core of present research in plant invasions is in ecological, biological, and biogeographical studies, focussed on (i) the history of invasion of particular species since their introduction, (ii) the role and importance of alien species in vegetation, including their participation in succession, and (iii) the major invasive species of the Czech flora and comparison of congeners. Reynoutria spp., Heracleum mantegazzianum, Oenothera spp., Pinus strobus, and Bidens frondosa are among the taxa most intensively studied in recent time. A complete list of 69 invasive plants in the Czech flora introduced after the year 1500 [following the definition of Richardson et al. (2000a) Diversity and Distributions 6: 93–107] is given. The available legal instruments relevant to the issue are reviewed.","container-title":"Biological Invasions","DOI":"10.1023/B:BINV.0000005572.47560.1c","ISSN":"1573-1464","issue":"4","journalAbbreviation":"Biological Invasions","page":"337-348","title":"Research into Plant Invasions in a Crossroads Region: History and Focus","volume":"5","author":[{"family":"Pyšek","given":"Petr"},{"family":"Prach","given":"Karel"}],"issued":{"date-parts":[["2003",12,1]]}}}],"schema":"https://github.com/citation-style-language/schema/raw/master/csl-citation.json"} </w:instrText>
            </w:r>
            <w:r w:rsidR="005F1F35" w:rsidRPr="00C9564D">
              <w:rPr>
                <w:color w:val="000000" w:themeColor="text1"/>
              </w:rPr>
              <w:fldChar w:fldCharType="separate"/>
            </w:r>
            <w:r w:rsidR="00026EED" w:rsidRPr="00026EED">
              <w:t>(Pyšek and Prach 2003)</w:t>
            </w:r>
            <w:r w:rsidR="005F1F35" w:rsidRPr="00C9564D">
              <w:rPr>
                <w:color w:val="000000" w:themeColor="text1"/>
              </w:rPr>
              <w:fldChar w:fldCharType="end"/>
            </w:r>
            <w:r w:rsidRPr="00C9564D">
              <w:rPr>
                <w:color w:val="000000" w:themeColor="text1"/>
              </w:rPr>
              <w:t>. In Central Europe, many sandstone areas are protected for their unique environment, and large-scale regeneration.</w:t>
            </w:r>
          </w:p>
          <w:p w14:paraId="67BC1829" w14:textId="47350704" w:rsidR="00830EE5" w:rsidRPr="00C9564D" w:rsidRDefault="00830EE5" w:rsidP="00E25924">
            <w:pPr>
              <w:spacing w:before="120" w:after="120"/>
              <w:jc w:val="both"/>
              <w:rPr>
                <w:i/>
                <w:iCs/>
                <w:color w:val="000000" w:themeColor="text1"/>
              </w:rPr>
            </w:pPr>
            <w:r w:rsidRPr="00C9564D">
              <w:rPr>
                <w:i/>
                <w:iCs/>
                <w:color w:val="000000" w:themeColor="text1"/>
              </w:rPr>
              <w:t xml:space="preserve">Quercus rubra </w:t>
            </w:r>
            <w:r w:rsidRPr="00C9564D">
              <w:rPr>
                <w:color w:val="000000" w:themeColor="text1"/>
              </w:rPr>
              <w:t>in Europe</w:t>
            </w:r>
            <w:r w:rsidR="00B40F91" w:rsidRPr="00C9564D">
              <w:rPr>
                <w:color w:val="000000" w:themeColor="text1"/>
              </w:rPr>
              <w:t xml:space="preserve"> can alter environmental conditions beneath its canopy, especially by decreasing light availability and litter decomposition rate. Such conditions also contribute to biotic homogenization of the understorey vegetation </w:t>
            </w:r>
            <w:r w:rsidR="00B40F91" w:rsidRPr="00C9564D">
              <w:rPr>
                <w:color w:val="000000" w:themeColor="text1"/>
              </w:rPr>
              <w:fldChar w:fldCharType="begin"/>
            </w:r>
            <w:r w:rsidR="00B40F91" w:rsidRPr="00C9564D">
              <w:rPr>
                <w:color w:val="000000" w:themeColor="text1"/>
              </w:rPr>
              <w:instrText xml:space="preserve"> ADDIN ZOTERO_ITEM CSL_CITATION {"citationID":"sDyAJlyO","properties":{"formattedCitation":"(Myczko et al. 2017; Dyderski et al. 2020; Chmura 2020)","plainCitation":"(Myczko et al. 2017; Dyderski et al. 2020; Chmura 2020)","noteIndex":0},"citationItems":[{"id":666,"uris":["http://zotero.org/users/6602900/items/XWWVPMBW"],"uri":["http://zotero.org/users/6602900/items/XWWVPMBW"],"itemData":{"id":666,"type":"article-journal","abstract":"In their first phase of expanding into new areas, invasive plants often take advantage of the inability of existing herbivores and pathogenic species to exploit them. However, in the longer term local enemies may adapt to using these invasive species as a food source. This study assesses the use of mature acorns of two oak species in Europe (the native Pedunculate Oak Quercus robur and the invasive Northern Red Oak Quercus rubra) by moths Cydia fagiglandana and Cydia splendana and beetles Curculio spp. We show that acorns of invasive oak species can be equally attractive to C. splendana but only partially so to C. fagiglandana where infestation rates where significantly lower (approximately half) compared to the native oak. The infestation by Curculio beetles of Northern Red Oak was marginal, less than 1% of the rate in the native oak species. The larval final weights did not differ significantly between host species, but emergence of C. splendana and Curculio spp. took significantly longer in acorns of Northern Red Oak. It is likely that C. fagiglandana and C. splendana have increased their niche breadths by exploiting invasive oak species and avoiding competition with the Curculio weevils. Furthermore, the occurrence of Northern Red Oak could stabilize food resources during years when native oak species have poor acorn crops.","container-title":"Biological Invasions","DOI":"10.1007/s10530-017-1452-y","ISSN":"1573-1464","issue":"8","journalAbbreviation":"Biological Invasions","page":"2419-2425","title":"Acorns of invasive Northern Red Oak (Quercus rubra) in Europe are larval hosts for moths and beetles","volume":"19","author":[{"family":"Myczko","given":"Łukasz"},{"family":"Dylewski","given":"Łukasz"},{"family":"Chrzanowski","given":"Artur"},{"family":"Sparks","given":"Tim H."}],"issued":{"date-parts":[["2017",8,1]]}}},{"id":596,"uris":["http://zotero.org/users/6602900/items/VE9VM2DB"],"uri":["http://zotero.org/users/6602900/items/VE9VM2DB"],"itemData":{"id":596,"type":"article-journal","abstract":"Abstract This account presents information on all aspects of the biology of Quercus rubra L. (Red Oak, Northern Red Oak; syn. Q. borealis, Q. maxima)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history; and conservation. Quercus rubra is a large deciduous tree native to eastern North America. In its native range this species is one of the most important mid-successional tree species. Since the 18th century Q. rubra has been introduced into forest management in Europe and elsewhere. Currently, Q. rubra is a naturalized species in 23 countries. It is an important source of wood, and this was one of the most important reasons for its introduction in forests. In forest management this species is valued for its high growth rate and drought resistance. Red Oak is also widely cultivated in Europe for its ornamental value?red leaves in autumn and smooth, grey bark. Red Oak is a threat to native species within its introduced range as it can alter environmental conditions beneath its canopy, especially by decreasing light availability and litter decomposition rate. Such conditions also contribute to biotic homogenization of the understorey vegetation. Q. rubra is widely dispersed by small mammals and birds, up to 1,500 m from seed sources, thereby increasing its potential invasiveness. In Europe Q. rubra seems to be less prone to herbivores and fungi, in contrast to its native range, where it is grazed by ungulates and insects, and infected by Phytophthora and oak wilt. Due to its higher tolerance to drought than native European oaks, Q. rubra is claimed to be one of the species replacing native trees which are decreasing due to climate warming. However, consideration of all possible consequences is needed in wide-scale introduction of alien species, such as Q. rubra, due to negative impacts on native ecosystems.","container-title":"Journal of Ecology","DOI":"10.1111/1365-2745.13375","ISSN":"0022-0477","issue":"3","journalAbbreviation":"Journal of Ecology","note":"publisher: John Wiley &amp; Sons, Ltd","page":"1199-1225","title":"Biological Flora of the British Isles: Quercus rubra","volume":"108","author":[{"family":"Dyderski","given":"Marcin K."},{"family":"Chmura","given":"Damian"},{"family":"Dylewski","given":"Łukasz"},{"family":"Horodecki","given":"Paweł"},{"family":"Jagodziński","given":"Andrzej M."},{"family":"Pietras","given":"Marcin"},{"family":"Robakowski","given":"Piotr"},{"family":"Woziwoda","given":"Beata"}],"issued":{"date-parts":[["2020",5,1]]}}},{"id":221,"uris":["http://zotero.org/users/6602900/items/KHY749ZV"],"uri":["http://zotero.org/users/6602900/items/KHY749ZV"],"itemData":{"id":221,"type":"article-journal","abstract":"Research Highlights: The factors that control the spread and regeneration of Quercus rubra (L.) and the functional diversity of invaded forest were studied in order to indicate the signiﬁcant role of disturbances in a forest and the low functional richness and evenness of sites that are occupied by red oak. Background and Objectives: Red oak is one of the most frequent invasive trees from North America in Central Europe. It is also one of the most eﬃcient self-regenerating invasive alien species in forests. The main goal of the study is to identify the characteristics of forest communities with a contribution of Q. rubra, and to assess its role in shaping the species diversity of these novel phytocoenoses. Materials and Methods: A total of 180 phytosociological records that have a share of Q. rubra in southern Poland were collected, including 100 randomly chosen plots from which soil samples were taken. In addition, vegetation sampling was performed in 55 plots in the vicinities that were uninvaded. Results: The probability of the self-regeneration and cover of Q. rubra seedlings depends mainly on the availability of maternal trees, and the abundance of seedlings was highest in cutting areas. The vegetation with Q. rubra diﬀered in the plant functional types and environmental factors. According to the three-table ordination method, while the cover of red oak only aﬀected the canopy of the remaining species, a comparison of the invaded and uninvaded plots demonstrated that the sites that were occupied by Q. rubra had lower values of functional richness and evenness, thus indicating higher habitat ﬁltering and a lower importance of competition. Conclusions: Forest management practices play the most crucial role in the self-regeneration and occurrence of Q. rubra. However, the role of red oak in shaping the species composition and functional diversity is rather low.","container-title":"Forests","DOI":"10.3390/f11050586","ISSN":"1999-4907","issue":"5","journalAbbreviation":"Forests","language":"en","page":"586","source":"DOI.org (Crossref)","title":"The Spread and Role of the Invasive Alien Tree Quercus rubra (L.) in Novel Forest Ecosystems in Central Europe","volume":"11","author":[{"family":"Chmura","given":"Damian"}],"issued":{"date-parts":[["2020",5,23]]}}}],"schema":"https://github.com/citation-style-language/schema/raw/master/csl-citation.json"} </w:instrText>
            </w:r>
            <w:r w:rsidR="00B40F91" w:rsidRPr="00C9564D">
              <w:rPr>
                <w:color w:val="000000" w:themeColor="text1"/>
              </w:rPr>
              <w:fldChar w:fldCharType="separate"/>
            </w:r>
            <w:r w:rsidR="00026EED" w:rsidRPr="00026EED">
              <w:t>(Myczko et al. 2017; Dyderski et al. 2020; Chmura 2020)</w:t>
            </w:r>
            <w:r w:rsidR="00B40F91" w:rsidRPr="00C9564D">
              <w:rPr>
                <w:color w:val="000000" w:themeColor="text1"/>
              </w:rPr>
              <w:fldChar w:fldCharType="end"/>
            </w:r>
            <w:r w:rsidRPr="00C9564D">
              <w:rPr>
                <w:color w:val="000000" w:themeColor="text1"/>
              </w:rPr>
              <w:t>.</w:t>
            </w:r>
          </w:p>
        </w:tc>
      </w:tr>
      <w:tr w:rsidR="00830EE5" w:rsidRPr="00C9564D" w14:paraId="577F236A" w14:textId="77777777" w:rsidTr="00830EE5">
        <w:tc>
          <w:tcPr>
            <w:tcW w:w="1798" w:type="dxa"/>
          </w:tcPr>
          <w:p w14:paraId="7EB3933A" w14:textId="77777777" w:rsidR="00830EE5" w:rsidRPr="00C9564D" w:rsidRDefault="00830EE5" w:rsidP="00D06125">
            <w:pPr>
              <w:spacing w:before="120" w:after="120"/>
              <w:rPr>
                <w:b/>
                <w:color w:val="000000" w:themeColor="text1"/>
              </w:rPr>
            </w:pPr>
            <w:r w:rsidRPr="00C9564D">
              <w:rPr>
                <w:b/>
                <w:color w:val="000000" w:themeColor="text1"/>
              </w:rPr>
              <w:t>Hybridisers</w:t>
            </w:r>
          </w:p>
        </w:tc>
        <w:tc>
          <w:tcPr>
            <w:tcW w:w="1887" w:type="dxa"/>
          </w:tcPr>
          <w:p w14:paraId="5FA2B888" w14:textId="13D0F0DB" w:rsidR="00830EE5" w:rsidRPr="00C9564D" w:rsidRDefault="00830EE5" w:rsidP="00D06125">
            <w:pPr>
              <w:spacing w:before="120" w:after="120"/>
              <w:jc w:val="both"/>
              <w:rPr>
                <w:color w:val="000000" w:themeColor="text1"/>
              </w:rPr>
            </w:pPr>
            <w:r w:rsidRPr="00C9564D">
              <w:rPr>
                <w:color w:val="000000" w:themeColor="text1"/>
              </w:rPr>
              <w:t>(3) Hybridisation</w:t>
            </w:r>
          </w:p>
        </w:tc>
        <w:tc>
          <w:tcPr>
            <w:tcW w:w="10710" w:type="dxa"/>
          </w:tcPr>
          <w:p w14:paraId="66A15D24" w14:textId="0AA18AC3" w:rsidR="00830EE5" w:rsidRPr="00C9564D" w:rsidRDefault="00463EC0" w:rsidP="00463EC0">
            <w:pPr>
              <w:spacing w:before="120" w:after="120"/>
              <w:jc w:val="both"/>
              <w:rPr>
                <w:color w:val="000000" w:themeColor="text1"/>
              </w:rPr>
            </w:pPr>
            <w:r w:rsidRPr="00C9564D">
              <w:rPr>
                <w:color w:val="000000" w:themeColor="text1"/>
              </w:rPr>
              <w:t xml:space="preserve">NNTs and INNTs </w:t>
            </w:r>
            <w:r w:rsidR="00830EE5" w:rsidRPr="00C9564D">
              <w:rPr>
                <w:color w:val="000000" w:themeColor="text1"/>
              </w:rPr>
              <w:t xml:space="preserve"> can </w:t>
            </w:r>
            <w:r w:rsidR="00830EE5" w:rsidRPr="00C9564D">
              <w:rPr>
                <w:bCs/>
                <w:color w:val="000000" w:themeColor="text1"/>
              </w:rPr>
              <w:t>hybridise and introgress</w:t>
            </w:r>
            <w:r w:rsidR="00830EE5" w:rsidRPr="00C9564D">
              <w:rPr>
                <w:color w:val="000000" w:themeColor="text1"/>
              </w:rPr>
              <w:t xml:space="preserve"> if the </w:t>
            </w:r>
            <w:r w:rsidRPr="00C9564D">
              <w:rPr>
                <w:color w:val="000000" w:themeColor="text1"/>
              </w:rPr>
              <w:t xml:space="preserve">NNTs </w:t>
            </w:r>
            <w:r w:rsidR="00830EE5" w:rsidRPr="00C9564D">
              <w:rPr>
                <w:color w:val="000000" w:themeColor="text1"/>
              </w:rPr>
              <w:t>have close taxonomic relatives in the native flora</w:t>
            </w:r>
            <w:r w:rsidR="00A32497" w:rsidRPr="00C9564D">
              <w:rPr>
                <w:color w:val="000000" w:themeColor="text1"/>
              </w:rPr>
              <w:t xml:space="preserve"> </w:t>
            </w:r>
            <w:r w:rsidR="00A32497" w:rsidRPr="00C9564D">
              <w:rPr>
                <w:color w:val="000000" w:themeColor="text1"/>
              </w:rPr>
              <w:fldChar w:fldCharType="begin"/>
            </w:r>
            <w:r w:rsidR="00A32497" w:rsidRPr="00C9564D">
              <w:rPr>
                <w:color w:val="000000" w:themeColor="text1"/>
              </w:rPr>
              <w:instrText xml:space="preserve"> ADDIN ZOTERO_ITEM CSL_CITATION {"citationID":"9bQMRqOA","properties":{"formattedCitation":"(Klonner et al. 2017)","plainCitation":"(Klonner et al. 2017)","noteIndex":0},"citationItems":[{"id":728,"uris":["http://zotero.org/users/6602900/items/3GFQM5RD"],"uri":["http://zotero.org/users/6602900/items/3GFQM5RD"],"itemData":{"id":728,"type":"article-journal","abstract":"Abstract Aim Interspecific hybridization can promote invasiveness of alien species. In many regions of the world, public and domestic gardens contain a huge pool of non-native plants. Climate change may relax constraints on their naturalization and hence facilitate hybridization with related species in the resident flora. Here, we evaluate this possible increase in hybridization risk by predicting changes in the overlap of climatically suitable ranges between a set of garden plants and their congeners in the resident flora. Location Europe. Methods From the pool of alien garden plants, we selected those which (1) are not naturalized in Europe, but established outside their native range elsewhere in the world; (2) belong to a genus where interspecific hybridization has been previously reported; and (3) have congeners in the native and naturalized flora of Europe. For the resulting set of 34 alien ornamentals as well as for 173 of their European congeners, we fitted species distribution models and projected suitable ranges under the current climate and three future climate scenarios. Changes in range overlap between garden plants and congeners were then assessed by means of the true skill statistic. Results Projections suggest that under a warming climate, suitable ranges of garden plants will increase, on average, while those of their congeners will remain constant or shrink, at least under the more severe climate scenarios. The mean overlap in ranges among congeners of the two groups will decrease. Variation among genera is pronounced; however, and for some congeners, range overlap is predicted to increase significantly. Main conclusions Averaged across all modelled species, our results do not indicate that hybrids between potential future invaders and resident species will emerge more frequently in Europe when climate warms. These average trends do not preclude, however, that hybridization risk may considerably increase in particular genera.","container-title":"Diversity and Distributions","DOI":"10.1111/ddi.12578","ISSN":"1366-9516","issue":"8","journalAbbreviation":"Diversity and Distributions","note":"publisher: John Wiley &amp; Sons, Ltd","page":"934-943","title":"Will climate change increase hybridization risk between potential plant invaders and their congeners in Europe?","volume":"23","author":[{"family":"Klonner","given":"Günther"},{"family":"Dullinger","given":"Iwona"},{"family":"Wessely","given":"Johannes"},{"family":"Bossdorf","given":"Oliver"},{"family":"Carboni","given":"Marta"},{"family":"Dawson","given":"Wayne"},{"family":"Essl","given":"Franz"},{"family":"Gattringer","given":"Andreas"},{"family":"Haeuser","given":"Emily"},{"family":"Kleunen","given":"Mark","non-dropping-particle":"van"},{"family":"Kreft","given":"Holger"},{"family":"Moser","given":"Dietmar"},{"family":"Pergl","given":"Jan"},{"family":"Pyšek","given":"Petr"},{"family":"Thuiller","given":"Wilfried"},{"family":"Weigelt","given":"Patrick"},{"family":"Winter","given":"Marten"},{"family":"Dullinger","given":"Stefan"}],"issued":{"date-parts":[["2017",8,1]]}}}],"schema":"https://github.com/citation-style-language/schema/raw/master/csl-citation.json"} </w:instrText>
            </w:r>
            <w:r w:rsidR="00A32497" w:rsidRPr="00C9564D">
              <w:rPr>
                <w:color w:val="000000" w:themeColor="text1"/>
              </w:rPr>
              <w:fldChar w:fldCharType="separate"/>
            </w:r>
            <w:r w:rsidR="00026EED" w:rsidRPr="00026EED">
              <w:t>(Klonner et al. 2017)</w:t>
            </w:r>
            <w:r w:rsidR="00A32497" w:rsidRPr="00C9564D">
              <w:rPr>
                <w:color w:val="000000" w:themeColor="text1"/>
              </w:rPr>
              <w:fldChar w:fldCharType="end"/>
            </w:r>
            <w:r w:rsidR="00830EE5" w:rsidRPr="00C9564D">
              <w:rPr>
                <w:color w:val="000000" w:themeColor="text1"/>
              </w:rPr>
              <w:t xml:space="preserve">. This can be desirable for a better adaptation to changing climatic conditions and to meet human needs in the renewable material “wood”, while undesirable from a conservation point of view </w:t>
            </w:r>
            <w:r w:rsidR="00ED117C" w:rsidRPr="00C9564D">
              <w:rPr>
                <w:color w:val="000000" w:themeColor="text1"/>
              </w:rPr>
              <w:fldChar w:fldCharType="begin"/>
            </w:r>
            <w:r w:rsidR="00ED117C" w:rsidRPr="00C9564D">
              <w:rPr>
                <w:color w:val="000000" w:themeColor="text1"/>
              </w:rPr>
              <w:instrText xml:space="preserve"> ADDIN ZOTERO_ITEM CSL_CITATION {"citationID":"RgJG3KgF","properties":{"formattedCitation":"(Rhymer and Simberloff 1996; Smulders et al. 2008; Felton et al. 2013)","plainCitation":"(Rhymer and Simberloff 1996; Smulders et al. 2008; Felton et al. 2013)","noteIndex":0},"citationItems":[{"id":725,"uris":["http://zotero.org/users/6602900/items/9N3AW867"],"uri":["http://zotero.org/users/6602900/items/9N3AW867"],"itemData":{"id":725,"type":"article-journal","abstract":"[Nonindigenous species can bring about a form of extinction of native flora and fauna by hybridization and introgression either through purposeful introduction by humans or through habitat modification, bringing previously isolated species into contact. These phenomena can be especially problematic for rare species coming into contact with more abundant ones. Increased use of molecular techniques focuses attention on the extent of this underappreciated problem that is not always apparent from morphological observations alone. Some degree of gene flow is a normal, evolutionarily constructive process, and all constellations of genes and genotypes cannot be preserved. However, hybridization with or without introgression may, nevertheless, threaten a rare species' existence.]","archive":"JSTOR","container-title":"Annual Review of Ecology and Systematics","ISSN":"00664162","note":"publisher: Annual Reviews","page":"83-109","title":"Extinction by Hybridization and Introgression","volume":"27","author":[{"family":"Rhymer","given":"Judith M."},{"family":"Simberloff","given":"Daniel"}],"issued":{"date-parts":[["1996"]]}}},{"id":726,"uris":["http://zotero.org/users/6602900/items/HBGMQDBU"],"uri":["http://zotero.org/users/6602900/items/HBGMQDBU"],"itemData":{"id":726,"type":"article-journal","abstract":"Black poplar (Populus nigra L.) is a major species for European riparian forests but its abundance has decreased over the decades due to human influences. For restoration of floodplain woodlands, the remaining black poplar stands may act as source population. A potential problem is that P. nigra and Populus deltoides have contributed to many interspecific hybrids, which have been planted in large numbers. As these Populus x canadensis clones have the possibility to intercross with wild P. nigra trees, their offspring could establish themselves along European rivers. In this study, we have sampled 44 poplar seedlings and young trees that occurred spontaneously along the Rhine river and its tributaries in the Netherlands. Along these rivers, only a few native P. nigra L. populations exist in combination with many planted cultivated P. x canadensis trees. By comparison to reference material from P. nigra, P. deltoides and P. x canadensis, species-specific AFLP bands and microsatellite alleles indicated that nearly half of the sampled trees were not pure P. nigra but progeny of natural hybridisation that had colonised the Rhine river banks. The posterior probability method as implemented in NewHybrids using microsatellite data was the superior method in establishing the most likely parentage. The results of this study indicate that offspring of hybrid cultivated poplars compete for the same ecological niche as native black poplars.","container-title":"Tree Genetics &amp; Genomes","DOI":"10.1007/s11295-008-0141-5","ISSN":"1614-2950","issue":"4","journalAbbreviation":"Tree Genetics &amp; Genomes","page":"663-675","title":"Natural hybridisation between Populus nigra L. and P. x canadensis Moench. Hybrid offspring competes for niches along the Rhine river in the Netherlands","volume":"4","author":[{"family":"Smulders","given":"M. J. M."},{"family":"Beringen","given":"R."},{"family":"Volosyanchuk","given":"R."},{"family":"Vanden Broeck","given":"A."},{"family":"Schoot","given":"J.","non-dropping-particle":"van der"},{"family":"Arens","given":"P."},{"family":"Vosman","given":"B."}],"issued":{"date-parts":[["2008",10,1]]}}},{"id":727,"uris":["http://zotero.org/users/6602900/items/HFNR2PEQ"],"uri":["http://zotero.org/users/6602900/items/HFNR2PEQ"],"itemData":{"id":727,"type":"article-journal","abstract":"Introduced tree species are increasingly being considered for use in production forestry due to production targets, and demand for a diversity of wood products. However, prior to expanding their use, active consideration needs to be given to the breadth of potential ecological consequences associated with each introduced tree species. Ecological consequences include the invasion and modification of sensitive ecosystems, changes in habitat provision for native taxa, altered risk of pest and pathogen outbreaks, and hybridization with native con-generics. Here we review the scientific literature to assess the potential ecological consequences from expanding the use of introduced tree species within Swedish forestry. We use an interdisciplinary approach to evaluate ecological risks, and our assessment is based on the scenario that a proportion of Norway spruce (Picea abies) monocultures in southern Sweden will be replaced by monocultures of Sycamore maple (Acer pseudoplatanus), Douglas fir (Pseudotsuga menziesii), hybrid aspen (Populus tremula tremuloides), or hybrid larch (Larix eurolepis/L. marschlinsii). Our results highlight that univariate consideration of the ecological consequences of exotic tree species can be highly misleading, due to the complex suite of costs, benefits, risks and uncertainties that each tree species brings to the region of introduction. We discuss our results in relation to conflicting management goals, and the lack of reversibility of some adverse ecological outcomes. We also highlight the need for assessments of ecological risk to facilitate evidence-based decision making by stakeholders. Our results provide a foundation for adaptive management programs aiming to limit the extent to which introduced tree species used in production forestry are accompanied by adverse ecological impacts.","container-title":"Forest Ecology and Management","DOI":"10.1016/j.foreco.2013.06.059","ISSN":"0378-1127","journalAbbreviation":"Forest Ecology and Management","page":"165-177","title":"Identifying and managing the ecological risks of using introduced tree species in Sweden’s production forestry","volume":"307","author":[{"family":"Felton","given":"Adam"},{"family":"Boberg","given":"Johanna"},{"family":"Björkman","given":"Christer"},{"family":"Widenfalk","given":"Olof"}],"issued":{"date-parts":[["2013",11,1]]}}}],"schema":"https://github.com/citation-style-language/schema/raw/master/csl-citation.json"} </w:instrText>
            </w:r>
            <w:r w:rsidR="00ED117C" w:rsidRPr="00C9564D">
              <w:rPr>
                <w:color w:val="000000" w:themeColor="text1"/>
              </w:rPr>
              <w:fldChar w:fldCharType="separate"/>
            </w:r>
            <w:r w:rsidR="00026EED" w:rsidRPr="00026EED">
              <w:t xml:space="preserve">(Rhymer </w:t>
            </w:r>
            <w:r w:rsidR="00026EED" w:rsidRPr="00026EED">
              <w:lastRenderedPageBreak/>
              <w:t>and Simberloff 1996; Smulders et al. 2008; Felton et al. 2013)</w:t>
            </w:r>
            <w:r w:rsidR="00ED117C" w:rsidRPr="00C9564D">
              <w:rPr>
                <w:color w:val="000000" w:themeColor="text1"/>
              </w:rPr>
              <w:fldChar w:fldCharType="end"/>
            </w:r>
            <w:r w:rsidR="00830EE5" w:rsidRPr="00C9564D">
              <w:rPr>
                <w:color w:val="000000" w:themeColor="text1"/>
              </w:rPr>
              <w:t>, especially if the native species are rare</w:t>
            </w:r>
            <w:r w:rsidR="00830EE5" w:rsidRPr="00C9564D">
              <w:rPr>
                <w:rStyle w:val="FootnoteReference"/>
              </w:rPr>
              <w:footnoteReference w:id="3"/>
            </w:r>
            <w:r w:rsidR="00830EE5" w:rsidRPr="00C9564D">
              <w:rPr>
                <w:color w:val="000000" w:themeColor="text1"/>
              </w:rPr>
              <w:t xml:space="preserve"> in number compared to planted individuals of the invasive alien tree.</w:t>
            </w:r>
            <w:r w:rsidR="00A32497" w:rsidRPr="00C9564D">
              <w:rPr>
                <w:color w:val="000000" w:themeColor="text1"/>
              </w:rPr>
              <w:t xml:space="preserve"> For example, </w:t>
            </w:r>
            <w:r w:rsidR="00A32497" w:rsidRPr="00C9564D">
              <w:rPr>
                <w:i/>
                <w:iCs/>
                <w:color w:val="000000" w:themeColor="text1"/>
              </w:rPr>
              <w:t>Populus nigra</w:t>
            </w:r>
            <w:r w:rsidR="00A32497" w:rsidRPr="00C9564D">
              <w:rPr>
                <w:color w:val="000000" w:themeColor="text1"/>
              </w:rPr>
              <w:t xml:space="preserve"> is a major species for European riparian forests but its abundance has decreased over the decades due to human influences. For restoration of floodplain woodlands, the remaining black poplar stands may act as source population. A potential problem is that </w:t>
            </w:r>
            <w:r w:rsidR="00A32497" w:rsidRPr="00C9564D">
              <w:rPr>
                <w:i/>
                <w:iCs/>
                <w:color w:val="000000" w:themeColor="text1"/>
              </w:rPr>
              <w:t>P. nigra</w:t>
            </w:r>
            <w:r w:rsidR="00A32497" w:rsidRPr="00C9564D">
              <w:rPr>
                <w:color w:val="000000" w:themeColor="text1"/>
              </w:rPr>
              <w:t xml:space="preserve"> and </w:t>
            </w:r>
            <w:r w:rsidR="00A32497" w:rsidRPr="00C9564D">
              <w:rPr>
                <w:i/>
                <w:iCs/>
                <w:color w:val="000000" w:themeColor="text1"/>
              </w:rPr>
              <w:t>Populus deltoides</w:t>
            </w:r>
            <w:r w:rsidR="00A32497" w:rsidRPr="00C9564D">
              <w:rPr>
                <w:color w:val="000000" w:themeColor="text1"/>
              </w:rPr>
              <w:t xml:space="preserve"> have contributed to many interspecific hybrids, which have been planted in large numbers. As these </w:t>
            </w:r>
            <w:r w:rsidR="00A32497" w:rsidRPr="00C9564D">
              <w:rPr>
                <w:i/>
                <w:iCs/>
                <w:color w:val="000000" w:themeColor="text1"/>
              </w:rPr>
              <w:t>Populus x canadensis</w:t>
            </w:r>
            <w:r w:rsidR="00A32497" w:rsidRPr="00C9564D">
              <w:rPr>
                <w:color w:val="000000" w:themeColor="text1"/>
              </w:rPr>
              <w:t xml:space="preserve"> clones have the possibility to intercross with wild </w:t>
            </w:r>
            <w:r w:rsidR="00A32497" w:rsidRPr="00C9564D">
              <w:rPr>
                <w:i/>
                <w:iCs/>
                <w:color w:val="000000" w:themeColor="text1"/>
              </w:rPr>
              <w:t>P. nigra</w:t>
            </w:r>
            <w:r w:rsidR="00A32497" w:rsidRPr="00C9564D">
              <w:rPr>
                <w:color w:val="000000" w:themeColor="text1"/>
              </w:rPr>
              <w:t xml:space="preserve"> trees, their offspring could establish themselves along European rivers </w:t>
            </w:r>
            <w:r w:rsidR="00A32497" w:rsidRPr="00C9564D">
              <w:rPr>
                <w:color w:val="000000" w:themeColor="text1"/>
              </w:rPr>
              <w:fldChar w:fldCharType="begin"/>
            </w:r>
            <w:r w:rsidR="00A32497" w:rsidRPr="00C9564D">
              <w:rPr>
                <w:color w:val="000000" w:themeColor="text1"/>
              </w:rPr>
              <w:instrText xml:space="preserve"> ADDIN ZOTERO_ITEM CSL_CITATION {"citationID":"nz7PVnhJ","properties":{"formattedCitation":"(Broeck et al. 2005; Smulders et al. 2008)","plainCitation":"(Broeck et al. 2005; Smulders et al. 2008)","noteIndex":0},"citationItems":[{"id":730,"uris":["http://zotero.org/users/6602900/items/7B7AHZQW"],"uri":["http://zotero.org/users/6602900/items/7B7AHZQW"],"itemData":{"id":730,"type":"article-journal","container-title":"Annals of Forest Science","ISSN":"1286-4560","issue":"7","journalAbbreviation":"Annals of Forest Science","note":"publisher: EDP Sciences","page":"601-613","title":"Natural hybridization between cultivated poplars and their wild relatives: evidence and consequences for native poplar populations","volume":"62","author":[{"family":"Broeck","given":"An Vanden"},{"family":"Villar","given":"Marc"},{"family":"Van Bockstaele","given":"Erik"},{"family":"VanSlycken","given":"Jos"}],"issued":{"date-parts":[["2005"]]}}},{"id":726,"uris":["http://zotero.org/users/6602900/items/HBGMQDBU"],"uri":["http://zotero.org/users/6602900/items/HBGMQDBU"],"itemData":{"id":726,"type":"article-journal","abstract":"Black poplar (Populus nigra L.) is a major species for European riparian forests but its abundance has decreased over the decades due to human influences. For restoration of floodplain woodlands, the remaining black poplar stands may act as source population. A potential problem is that P. nigra and Populus deltoides have contributed to many interspecific hybrids, which have been planted in large numbers. As these Populus x canadensis clones have the possibility to intercross with wild P. nigra trees, their offspring could establish themselves along European rivers. In this study, we have sampled 44 poplar seedlings and young trees that occurred spontaneously along the Rhine river and its tributaries in the Netherlands. Along these rivers, only a few native P. nigra L. populations exist in combination with many planted cultivated P. x canadensis trees. By comparison to reference material from P. nigra, P. deltoides and P. x canadensis, species-specific AFLP bands and microsatellite alleles indicated that nearly half of the sampled trees were not pure P. nigra but progeny of natural hybridisation that had colonised the Rhine river banks. The posterior probability method as implemented in NewHybrids using microsatellite data was the superior method in establishing the most likely parentage. The results of this study indicate that offspring of hybrid cultivated poplars compete for the same ecological niche as native black poplars.","container-title":"Tree Genetics &amp; Genomes","DOI":"10.1007/s11295-008-0141-5","ISSN":"1614-2950","issue":"4","journalAbbreviation":"Tree Genetics &amp; Genomes","page":"663-675","title":"Natural hybridisation between Populus nigra L. and P. x canadensis Moench. Hybrid offspring competes for niches along the Rhine river in the Netherlands","volume":"4","author":[{"family":"Smulders","given":"M. J. M."},{"family":"Beringen","given":"R."},{"family":"Volosyanchuk","given":"R."},{"family":"Vanden Broeck","given":"A."},{"family":"Schoot","given":"J.","non-dropping-particle":"van der"},{"family":"Arens","given":"P."},{"family":"Vosman","given":"B."}],"issued":{"date-parts":[["2008",10,1]]}}}],"schema":"https://github.com/citation-style-language/schema/raw/master/csl-citation.json"} </w:instrText>
            </w:r>
            <w:r w:rsidR="00A32497" w:rsidRPr="00C9564D">
              <w:rPr>
                <w:color w:val="000000" w:themeColor="text1"/>
              </w:rPr>
              <w:fldChar w:fldCharType="separate"/>
            </w:r>
            <w:r w:rsidR="00026EED" w:rsidRPr="00026EED">
              <w:t>(Broeck et al. 2005; Smulders et al. 2008)</w:t>
            </w:r>
            <w:r w:rsidR="00A32497" w:rsidRPr="00C9564D">
              <w:rPr>
                <w:color w:val="000000" w:themeColor="text1"/>
              </w:rPr>
              <w:fldChar w:fldCharType="end"/>
            </w:r>
            <w:r w:rsidR="00A32497" w:rsidRPr="00C9564D">
              <w:rPr>
                <w:color w:val="000000" w:themeColor="text1"/>
              </w:rPr>
              <w:t>.</w:t>
            </w:r>
          </w:p>
        </w:tc>
      </w:tr>
      <w:tr w:rsidR="00830EE5" w:rsidRPr="00C9564D" w14:paraId="39ACC3A9" w14:textId="77777777" w:rsidTr="00830EE5">
        <w:tc>
          <w:tcPr>
            <w:tcW w:w="1798" w:type="dxa"/>
          </w:tcPr>
          <w:p w14:paraId="22EEB996" w14:textId="4272FF5A" w:rsidR="00830EE5" w:rsidRPr="00C9564D" w:rsidRDefault="00830EE5" w:rsidP="00D06125">
            <w:pPr>
              <w:spacing w:before="120" w:after="120"/>
              <w:rPr>
                <w:b/>
                <w:color w:val="000000" w:themeColor="text1"/>
              </w:rPr>
            </w:pPr>
            <w:r w:rsidRPr="00C9564D">
              <w:rPr>
                <w:b/>
                <w:color w:val="000000" w:themeColor="text1"/>
              </w:rPr>
              <w:lastRenderedPageBreak/>
              <w:t>Vectors</w:t>
            </w:r>
          </w:p>
        </w:tc>
        <w:tc>
          <w:tcPr>
            <w:tcW w:w="1887" w:type="dxa"/>
          </w:tcPr>
          <w:p w14:paraId="3B5283F0" w14:textId="77777777" w:rsidR="00830EE5" w:rsidRPr="00C9564D" w:rsidRDefault="00830EE5" w:rsidP="00D06125">
            <w:pPr>
              <w:spacing w:before="120" w:after="120"/>
              <w:jc w:val="both"/>
              <w:rPr>
                <w:color w:val="000000" w:themeColor="text1"/>
              </w:rPr>
            </w:pPr>
          </w:p>
        </w:tc>
        <w:tc>
          <w:tcPr>
            <w:tcW w:w="10710" w:type="dxa"/>
          </w:tcPr>
          <w:p w14:paraId="74A3597B" w14:textId="4F123E4E" w:rsidR="00830EE5" w:rsidRPr="00C9564D" w:rsidRDefault="00830EE5" w:rsidP="003E4584">
            <w:pPr>
              <w:spacing w:before="120" w:after="120"/>
              <w:jc w:val="both"/>
              <w:rPr>
                <w:color w:val="000000" w:themeColor="text1"/>
              </w:rPr>
            </w:pPr>
            <w:r w:rsidRPr="00C9564D">
              <w:rPr>
                <w:color w:val="000000" w:themeColor="text1"/>
              </w:rPr>
              <w:t xml:space="preserve">When </w:t>
            </w:r>
            <w:r w:rsidR="00A32497" w:rsidRPr="00C9564D">
              <w:rPr>
                <w:color w:val="000000" w:themeColor="text1"/>
              </w:rPr>
              <w:t>NNTs</w:t>
            </w:r>
            <w:r w:rsidRPr="00C9564D">
              <w:rPr>
                <w:color w:val="000000" w:themeColor="text1"/>
              </w:rPr>
              <w:t xml:space="preserve"> reach novel environments, they </w:t>
            </w:r>
            <w:r w:rsidR="00A32497" w:rsidRPr="00C9564D">
              <w:rPr>
                <w:color w:val="000000" w:themeColor="text1"/>
              </w:rPr>
              <w:t>may act as vectors of pest</w:t>
            </w:r>
            <w:r w:rsidR="009823BC" w:rsidRPr="00C9564D">
              <w:rPr>
                <w:color w:val="000000" w:themeColor="text1"/>
              </w:rPr>
              <w:t>s</w:t>
            </w:r>
            <w:r w:rsidR="00A32497" w:rsidRPr="00C9564D">
              <w:rPr>
                <w:color w:val="000000" w:themeColor="text1"/>
              </w:rPr>
              <w:t xml:space="preserve">, pathogens and </w:t>
            </w:r>
            <w:r w:rsidRPr="00C9564D">
              <w:rPr>
                <w:color w:val="000000" w:themeColor="text1"/>
              </w:rPr>
              <w:t xml:space="preserve">typically arrive with hidden microbiomes. In general, most of these hitchhikers remain on their co-evolved hosts, some contribute to the invasiveness of their hosts, and a small number can undergo host shifts and move onto native hosts </w:t>
            </w:r>
            <w:r w:rsidRPr="00C9564D">
              <w:rPr>
                <w:color w:val="000000" w:themeColor="text1"/>
              </w:rPr>
              <w:fldChar w:fldCharType="begin"/>
            </w:r>
            <w:r w:rsidRPr="00C9564D">
              <w:rPr>
                <w:color w:val="000000" w:themeColor="text1"/>
              </w:rPr>
              <w:instrText xml:space="preserve"> ADDIN ZOTERO_ITEM CSL_CITATION {"citationID":"aQpcMtcO","properties":{"formattedCitation":"(Burgess et al. 2016)","plainCitation":"(Burgess et al. 2016)","noteIndex":0},"citationItems":[{"id":556,"uris":["http://zotero.org/users/6602900/items/G3ZRXPVV"],"uri":["http://zotero.org/users/6602900/items/G3ZRXPVV"],"itemData":{"id":556,"type":"article-journal","abstract":"When non-native plants reach novel environments, they typically arrive with\nhidden microbiomes. In general, most of these hitchhikers remain on their\nco-evolved hosts, some contribute to the invasiveness of their hosts, and a\nsmall number can undergo host shifts and move onto native hosts. Invasion\nsuccess can vary depending upon the different categories of fungal associates.\nWhen an invader tree relies on a fungal mutualism to survive in the new\nenvironment, there is a fundamentally lower likelihood of either the tree, or\nthe fungus, establishing novel associations. In contrast, parasitic hitchhikers\ncould merely use their host plants to move through the landscape and to become\nestablished on new hosts (host shifts). Evidence suggests the frequency of these\nhost shifts is low and depends upon the fungal functional group. However,\nepidemics caused by invasive pathogens in native ecosystems have occurred\nglobally. Thus, elucidating the potential for hidden non-native fungi to form\nnovel host associations in a new environment is important for biodiversity\nconservation.","container-title":"AoB PLANTS","DOI":"10.1093/aobpla/plw076","ISSN":"2041-2851","issue":"plw076","journalAbbreviation":"AoB PLANTS","title":"Tree invasions and biosecurity: eco-evolutionary dynamics of hitchhiking fungi","URL":"https://doi.org/10.1093/aobpla/plw076","volume":"8","author":[{"family":"Burgess","given":"Treena I."},{"family":"Crous","given":"Casparus J."},{"family":"Slippers","given":"Bernard"},{"family":"Hantula","given":"Jarkko"},{"family":"Wingfield","given":"Michael J."}],"accessed":{"date-parts":[["2020",6,6]]},"issued":{"date-parts":[["2016",11,7]]}}}],"schema":"https://github.com/citation-style-language/schema/raw/master/csl-citation.json"} </w:instrText>
            </w:r>
            <w:r w:rsidRPr="00C9564D">
              <w:rPr>
                <w:color w:val="000000" w:themeColor="text1"/>
              </w:rPr>
              <w:fldChar w:fldCharType="separate"/>
            </w:r>
            <w:r w:rsidR="00026EED" w:rsidRPr="00026EED">
              <w:t>(Burgess et al. 2016)</w:t>
            </w:r>
            <w:r w:rsidRPr="00C9564D">
              <w:rPr>
                <w:color w:val="000000" w:themeColor="text1"/>
              </w:rPr>
              <w:fldChar w:fldCharType="end"/>
            </w:r>
            <w:r w:rsidRPr="00C9564D">
              <w:rPr>
                <w:color w:val="000000" w:themeColor="text1"/>
              </w:rPr>
              <w:t>.</w:t>
            </w:r>
            <w:r w:rsidR="00A32497" w:rsidRPr="00C9564D">
              <w:rPr>
                <w:color w:val="000000" w:themeColor="text1"/>
              </w:rPr>
              <w:t xml:space="preserve"> </w:t>
            </w:r>
            <w:r w:rsidR="009823BC" w:rsidRPr="00C9564D">
              <w:rPr>
                <w:color w:val="000000" w:themeColor="text1"/>
              </w:rPr>
              <w:t xml:space="preserve">For example, a study from </w:t>
            </w:r>
            <w:r w:rsidR="009823BC" w:rsidRPr="00C9564D">
              <w:rPr>
                <w:color w:val="000000" w:themeColor="text1"/>
              </w:rPr>
              <w:fldChar w:fldCharType="begin"/>
            </w:r>
            <w:r w:rsidR="00D62B97" w:rsidRPr="00C9564D">
              <w:rPr>
                <w:color w:val="000000" w:themeColor="text1"/>
              </w:rPr>
              <w:instrText xml:space="preserve"> ADDIN ZOTERO_ITEM CSL_CITATION {"citationID":"VFjp6U2e","properties":{"formattedCitation":"(Santolamazza-Carbone et al. 2019)","plainCitation":"(Santolamazza-Carbone et al. 2019)","dontUpdate":true,"noteIndex":0},"citationItems":[{"id":731,"uris":["http://zotero.org/users/6602900/items/QW6SV44T"],"uri":["http://zotero.org/users/6602900/items/QW6SV44T"],"itemData":{"id":731,"type":"article-journal","abstract":"The identity and relevance of the ectomycorrhizal (ECM) fungal partners of Eucalyptus globulus was investigated in NW Spain, to detect which symbionts mainly support its invasiveness. Root tips of E. globulus and of three common native plant species (Quercus robur, Pinus pinaster and Halimium lasianthum) were collected in eucalypt plantations, Q. robur forests, P. pinaster plantations and shrublands. Fungal taxonomical identity was ascertained by use of rDNA and direct sequencing. We studied diversity, composition and colonization rate of the ECM fungal communities of E. globulus to determine if fungal assemblages are host specific (i.e. similar in different habitats) or more dependent on the neighbourhood context. We also identified the type of associations formed (i.e. co-introductions, familiar or novel associations). Twenty-six ECM taxa were associated with E. globulus. Most of them engaged in novel associations with eucalypts, whereas only three fungal species were co-introduced Australian aliens. Eucalypt fungal richness, diversity and colonization rate differed between habitats, being higher in native oak forests, whereas in shrublands E. globulus showed the lowest colonization rate and diversity. The Australian fungus Descolea maculata dominated the eucalypt fungal assemblage and also spread to the native host plants, in all the habitats, posing the risk of further co-invasion.","container-title":"Scientific Reports","DOI":"10.1038/s41598-019-42550-x","ISSN":"2045-2322","issue":"1","journalAbbreviation":"Scientific Reports","page":"7121","title":"Context dependency, co-introductions, novel mutualisms, and host shifts shaped the ectomycorrhizal fungal communities of the alien tree Eucalyptus globulus","volume":"9","author":[{"family":"Santolamazza-Carbone","given":"Serena"},{"family":"Durán-Otero","given":"Mónica"},{"family":"Calviño-Cancela","given":"María"}],"issued":{"date-parts":[["2019",5,9]]}}}],"schema":"https://github.com/citation-style-language/schema/raw/master/csl-citation.json"} </w:instrText>
            </w:r>
            <w:r w:rsidR="009823BC" w:rsidRPr="00C9564D">
              <w:rPr>
                <w:color w:val="000000" w:themeColor="text1"/>
              </w:rPr>
              <w:fldChar w:fldCharType="separate"/>
            </w:r>
            <w:r w:rsidR="009823BC" w:rsidRPr="00C9564D">
              <w:t>Santolamazza-Carbone et al. (2019)</w:t>
            </w:r>
            <w:r w:rsidR="009823BC" w:rsidRPr="00C9564D">
              <w:rPr>
                <w:color w:val="000000" w:themeColor="text1"/>
              </w:rPr>
              <w:fldChar w:fldCharType="end"/>
            </w:r>
            <w:r w:rsidR="009823BC" w:rsidRPr="00C9564D">
              <w:rPr>
                <w:color w:val="000000" w:themeColor="text1"/>
              </w:rPr>
              <w:t xml:space="preserve"> </w:t>
            </w:r>
            <w:r w:rsidR="00A32497" w:rsidRPr="00C9564D">
              <w:rPr>
                <w:color w:val="000000" w:themeColor="text1"/>
              </w:rPr>
              <w:t xml:space="preserve">have shown that the spread of Australian fungal taxa and the establishment of novel interactions enhanced the mycorrhization of eucalypts in NW Spain. The Australian fungus </w:t>
            </w:r>
            <w:r w:rsidR="00A32497" w:rsidRPr="00C9564D">
              <w:rPr>
                <w:i/>
                <w:iCs/>
                <w:color w:val="000000" w:themeColor="text1"/>
              </w:rPr>
              <w:t>Descolea maculata</w:t>
            </w:r>
            <w:r w:rsidR="00A32497" w:rsidRPr="00C9564D">
              <w:rPr>
                <w:color w:val="000000" w:themeColor="text1"/>
              </w:rPr>
              <w:t xml:space="preserve"> dominated the eucalypt fungal assemblage and also spread to the native host plants, in all the habitats, posing the risk of further co-invasion </w:t>
            </w:r>
            <w:r w:rsidR="00A32497" w:rsidRPr="00C9564D">
              <w:rPr>
                <w:color w:val="000000" w:themeColor="text1"/>
              </w:rPr>
              <w:fldChar w:fldCharType="begin"/>
            </w:r>
            <w:r w:rsidR="00A32497" w:rsidRPr="00C9564D">
              <w:rPr>
                <w:color w:val="000000" w:themeColor="text1"/>
              </w:rPr>
              <w:instrText xml:space="preserve"> ADDIN ZOTERO_ITEM CSL_CITATION {"citationID":"8lgaKmTQ","properties":{"formattedCitation":"(Santolamazza-Carbone et al. 2019)","plainCitation":"(Santolamazza-Carbone et al. 2019)","noteIndex":0},"citationItems":[{"id":731,"uris":["http://zotero.org/users/6602900/items/QW6SV44T"],"uri":["http://zotero.org/users/6602900/items/QW6SV44T"],"itemData":{"id":731,"type":"article-journal","abstract":"The identity and relevance of the ectomycorrhizal (ECM) fungal partners of Eucalyptus globulus was investigated in NW Spain, to detect which symbionts mainly support its invasiveness. Root tips of E. globulus and of three common native plant species (Quercus robur, Pinus pinaster and Halimium lasianthum) were collected in eucalypt plantations, Q. robur forests, P. pinaster plantations and shrublands. Fungal taxonomical identity was ascertained by use of rDNA and direct sequencing. We studied diversity, composition and colonization rate of the ECM fungal communities of E. globulus to determine if fungal assemblages are host specific (i.e. similar in different habitats) or more dependent on the neighbourhood context. We also identified the type of associations formed (i.e. co-introductions, familiar or novel associations). Twenty-six ECM taxa were associated with E. globulus. Most of them engaged in novel associations with eucalypts, whereas only three fungal species were co-introduced Australian aliens. Eucalypt fungal richness, diversity and colonization rate differed between habitats, being higher in native oak forests, whereas in shrublands E. globulus showed the lowest colonization rate and diversity. The Australian fungus Descolea maculata dominated the eucalypt fungal assemblage and also spread to the native host plants, in all the habitats, posing the risk of further co-invasion.","container-title":"Scientific Reports","DOI":"10.1038/s41598-019-42550-x","ISSN":"2045-2322","issue":"1","journalAbbreviation":"Scientific Reports","page":"7121","title":"Context dependency, co-introductions, novel mutualisms, and host shifts shaped the ectomycorrhizal fungal communities of the alien tree Eucalyptus globulus","volume":"9","author":[{"family":"Santolamazza-Carbone","given":"Serena"},{"family":"Durán-Otero","given":"Mónica"},{"family":"Calviño-Cancela","given":"María"}],"issued":{"date-parts":[["2019",5,9]]}}}],"schema":"https://github.com/citation-style-language/schema/raw/master/csl-citation.json"} </w:instrText>
            </w:r>
            <w:r w:rsidR="00A32497" w:rsidRPr="00C9564D">
              <w:rPr>
                <w:color w:val="000000" w:themeColor="text1"/>
              </w:rPr>
              <w:fldChar w:fldCharType="separate"/>
            </w:r>
            <w:r w:rsidR="00026EED" w:rsidRPr="00026EED">
              <w:t>(Santolamazza-Carbone et al. 2019)</w:t>
            </w:r>
            <w:r w:rsidR="00A32497" w:rsidRPr="00C9564D">
              <w:rPr>
                <w:color w:val="000000" w:themeColor="text1"/>
              </w:rPr>
              <w:fldChar w:fldCharType="end"/>
            </w:r>
            <w:r w:rsidR="00A32497" w:rsidRPr="00C9564D">
              <w:rPr>
                <w:color w:val="000000" w:themeColor="text1"/>
              </w:rPr>
              <w:t>.</w:t>
            </w:r>
            <w:r w:rsidR="00D62B97" w:rsidRPr="00C9564D">
              <w:rPr>
                <w:color w:val="000000" w:themeColor="text1"/>
              </w:rPr>
              <w:t xml:space="preserve"> The dispersion of Australian fungal propagules may be facilitating the spread of eucalypts along watercourses in semiarid regions increasing the water lost in Portugal </w:t>
            </w:r>
            <w:r w:rsidR="00D62B97" w:rsidRPr="00C9564D">
              <w:rPr>
                <w:color w:val="000000" w:themeColor="text1"/>
              </w:rPr>
              <w:fldChar w:fldCharType="begin"/>
            </w:r>
            <w:r w:rsidR="00D62B97" w:rsidRPr="00C9564D">
              <w:rPr>
                <w:color w:val="000000" w:themeColor="text1"/>
              </w:rPr>
              <w:instrText xml:space="preserve"> ADDIN ZOTERO_ITEM CSL_CITATION {"citationID":"NJXVwUBN","properties":{"formattedCitation":"(D\\uc0\\u237{}ez 2005)","plainCitation":"(Díez 2005)","noteIndex":0},"citationItems":[{"id":735,"uris":["http://zotero.org/users/6602900/items/UCNQQWYU"],"uri":["http://zotero.org/users/6602900/items/UCNQQWYU"],"itemData":{"id":735,"type":"article-journal","abstract":"In the last two centuries, several species of Australian eucalypts (e.g. Eucalyptus camaldulensis and E.</w:instrText>
            </w:r>
            <w:r w:rsidR="00D62B97" w:rsidRPr="00C9564D">
              <w:rPr>
                <w:rFonts w:ascii="MS Gothic" w:eastAsia="MS Gothic" w:hAnsi="MS Gothic" w:cs="MS Gothic"/>
                <w:color w:val="000000" w:themeColor="text1"/>
              </w:rPr>
              <w:instrText>␣</w:instrText>
            </w:r>
            <w:r w:rsidR="00D62B97" w:rsidRPr="00C9564D">
              <w:rPr>
                <w:color w:val="000000" w:themeColor="text1"/>
              </w:rPr>
              <w:instrText>globulus) were introduced into the Iberian Peninsula for the production of paper pulp. The effects of the introduction of exotic root-symbitotic fungi together with the eucalypts have received little attention. During the past years, we have investigated the biology of ectomycorrhizal fungi in eucalypt plantations in the Iberian Peninsula. In the plantations studied, we found fruit bodies of several Australian ectomycorrhizal fungi and identified their ectomycorrhizas with DNA molecular markers. The most frequent species were Hydnangium carneum, Hymenogaster albus, Hysterangium inflatum, Labyrinthomyces donkii, Laccaria fraterna, Pisolithus albus, P. microcarpus, Rhulandiella berolinensis, Setchelliogaster rheophyllus, and Tricholoma eucalypticum. These fungi were likely brought from Australia together with the eucalypts, and they seem to have facilitated the establishment of eucalypt plantations and their naturalization. The dispersion of Australian fungal propagules may be facilitating the spread of eucalypts along watercourses in semiarid regions increasing the water lost. Because ectomycorrhizal fungi are obligate symbionts, their capacity to persist after eradication of eucalypt stands, and/or to extend beyond forest plantations, would rely on the possibility to find compatible native host trees, and to outcompete the native ectomycorrhizal fungi. Here we illustrate the case of the Australasian species Laccaria fraterna, which fruits in Mediterranean shrublands of ectomycorrhizal species of Cistus (rockroses). We need to know which other Australasian fungi extend to the native ecosystems, if we are to predict environmental</w:instrText>
            </w:r>
            <w:r w:rsidR="00D62B97" w:rsidRPr="00C9564D">
              <w:rPr>
                <w:rFonts w:ascii="MS Gothic" w:eastAsia="MS Gothic" w:hAnsi="MS Gothic" w:cs="MS Gothic"/>
                <w:color w:val="000000" w:themeColor="text1"/>
              </w:rPr>
              <w:instrText>␣</w:instrText>
            </w:r>
            <w:r w:rsidR="00D62B97" w:rsidRPr="00C9564D">
              <w:rPr>
                <w:color w:val="000000" w:themeColor="text1"/>
              </w:rPr>
              <w:instrText xml:space="preserve">risks associated with the introduction of Australasian ectomycorrhizal fungi into the Iberian Peninsula.","container-title":"Biological Invasions","DOI":"10.1007/s10530-004-9624-y","ISSN":"1573-1464","issue":"1","journalAbbreviation":"Biological Invasions","page":"3-15","title":"Invasion biology of Australian ectomycorrhizal fungi introduced with eucalypt plantations into the Iberian Peninsula","volume":"7","author":[{"family":"Díez","given":"Jesús"}],"issued":{"date-parts":[["2005",3,1]]}}}],"schema":"https://github.com/citation-style-language/schema/raw/master/csl-citation.json"} </w:instrText>
            </w:r>
            <w:r w:rsidR="00D62B97" w:rsidRPr="00C9564D">
              <w:rPr>
                <w:color w:val="000000" w:themeColor="text1"/>
              </w:rPr>
              <w:fldChar w:fldCharType="separate"/>
            </w:r>
            <w:r w:rsidR="00026EED" w:rsidRPr="00026EED">
              <w:t>(Díez 2005)</w:t>
            </w:r>
            <w:r w:rsidR="00D62B97" w:rsidRPr="00C9564D">
              <w:rPr>
                <w:color w:val="000000" w:themeColor="text1"/>
              </w:rPr>
              <w:fldChar w:fldCharType="end"/>
            </w:r>
            <w:r w:rsidR="00D62B97" w:rsidRPr="00C9564D">
              <w:rPr>
                <w:color w:val="000000" w:themeColor="text1"/>
              </w:rPr>
              <w:t>.</w:t>
            </w:r>
          </w:p>
        </w:tc>
      </w:tr>
    </w:tbl>
    <w:p w14:paraId="437E8495" w14:textId="77777777" w:rsidR="00A57294" w:rsidRPr="00C9564D" w:rsidRDefault="00A57294" w:rsidP="00A57294">
      <w:pPr>
        <w:spacing w:before="120" w:after="120"/>
        <w:rPr>
          <w:color w:val="000000" w:themeColor="text1"/>
        </w:rPr>
      </w:pPr>
    </w:p>
    <w:p w14:paraId="67B11142" w14:textId="77777777" w:rsidR="00A57294" w:rsidRPr="00C9564D" w:rsidRDefault="00A57294" w:rsidP="00A57294">
      <w:pPr>
        <w:suppressAutoHyphens w:val="0"/>
        <w:rPr>
          <w:color w:val="000000" w:themeColor="text1"/>
        </w:rPr>
      </w:pPr>
      <w:r w:rsidRPr="00C9564D">
        <w:rPr>
          <w:color w:val="000000" w:themeColor="text1"/>
        </w:rPr>
        <w:br w:type="page"/>
      </w:r>
    </w:p>
    <w:p w14:paraId="0EEFF59C" w14:textId="77777777" w:rsidR="00A57294" w:rsidRPr="00C9564D" w:rsidRDefault="00A57294" w:rsidP="00A57294">
      <w:pPr>
        <w:spacing w:before="120" w:after="120"/>
        <w:jc w:val="both"/>
        <w:rPr>
          <w:color w:val="000000" w:themeColor="text1"/>
        </w:rPr>
      </w:pPr>
    </w:p>
    <w:p w14:paraId="418036E1" w14:textId="64795A40" w:rsidR="00A57294" w:rsidRPr="00C9564D" w:rsidRDefault="00AF6900" w:rsidP="00A57294">
      <w:pPr>
        <w:spacing w:before="120" w:after="120"/>
        <w:jc w:val="both"/>
        <w:rPr>
          <w:color w:val="000000" w:themeColor="text1"/>
        </w:rPr>
      </w:pPr>
      <w:bookmarkStart w:id="1" w:name="_Toc12628669"/>
      <w:r w:rsidRPr="00E205FC">
        <w:rPr>
          <w:b/>
          <w:bCs/>
          <w:color w:val="C45911" w:themeColor="accent2" w:themeShade="BF"/>
        </w:rPr>
        <w:t>Table</w:t>
      </w:r>
      <w:r w:rsidR="00A57294" w:rsidRPr="00E205FC">
        <w:rPr>
          <w:b/>
          <w:bCs/>
          <w:color w:val="C45911" w:themeColor="accent2" w:themeShade="BF"/>
        </w:rPr>
        <w:t xml:space="preserve"> </w:t>
      </w:r>
      <w:r w:rsidR="00B50045" w:rsidRPr="00E205FC">
        <w:rPr>
          <w:b/>
          <w:bCs/>
          <w:color w:val="C45911" w:themeColor="accent2" w:themeShade="BF"/>
        </w:rPr>
        <w:t>3S</w:t>
      </w:r>
      <w:r w:rsidRPr="00E205FC">
        <w:rPr>
          <w:b/>
          <w:bCs/>
          <w:color w:val="C45911" w:themeColor="accent2" w:themeShade="BF"/>
        </w:rPr>
        <w:t>.</w:t>
      </w:r>
      <w:r w:rsidR="00A57294" w:rsidRPr="00E205FC">
        <w:rPr>
          <w:color w:val="C45911" w:themeColor="accent2" w:themeShade="BF"/>
        </w:rPr>
        <w:t xml:space="preserve"> </w:t>
      </w:r>
      <w:r w:rsidR="00C65110" w:rsidRPr="00E205FC">
        <w:rPr>
          <w:color w:val="000000" w:themeColor="text1"/>
        </w:rPr>
        <w:t>Major i</w:t>
      </w:r>
      <w:r w:rsidR="00A57294" w:rsidRPr="00E205FC">
        <w:rPr>
          <w:color w:val="000000" w:themeColor="text1"/>
        </w:rPr>
        <w:t xml:space="preserve">nternational initiatives and legislation pertaining to invasive alien species and </w:t>
      </w:r>
      <w:r w:rsidR="00BF028C" w:rsidRPr="00E205FC">
        <w:rPr>
          <w:color w:val="000000" w:themeColor="text1"/>
        </w:rPr>
        <w:t>INNTs</w:t>
      </w:r>
      <w:bookmarkEnd w:id="1"/>
      <w:r w:rsidRPr="00E205FC">
        <w:rPr>
          <w:color w:val="000000" w:themeColor="text1"/>
        </w:rPr>
        <w:t xml:space="preserve">. </w:t>
      </w:r>
      <w:r w:rsidR="00A57294" w:rsidRPr="00C9564D">
        <w:rPr>
          <w:color w:val="000000" w:themeColor="text1"/>
        </w:rPr>
        <w:t xml:space="preserve">Many international instruments refer to invasive alien species that have undesired environmental or economic impacts. These range from legally binding treaties to non-binding technical guidelines focussing on particular species or pathways. The main international regulations concerning invasive alien species are given in the following with specific reference to </w:t>
      </w:r>
      <w:r w:rsidR="000A5AF0" w:rsidRPr="00C9564D">
        <w:rPr>
          <w:color w:val="000000" w:themeColor="text1"/>
        </w:rPr>
        <w:t>INNTs</w:t>
      </w:r>
      <w:r w:rsidR="00A57294" w:rsidRPr="00C9564D">
        <w:rPr>
          <w:color w:val="000000" w:themeColor="text1"/>
        </w:rPr>
        <w:t xml:space="preserve"> and planted forests. The information here provided is intended to provide support to the </w:t>
      </w:r>
      <w:r w:rsidR="00B50045" w:rsidRPr="00C9564D">
        <w:rPr>
          <w:color w:val="000000" w:themeColor="text1"/>
        </w:rPr>
        <w:t>recommendation 2 of the GG-NNTs: be aware of and comply with international, national and regional regulations concerning non-native trees</w:t>
      </w:r>
      <w:r w:rsidR="00A57294" w:rsidRPr="00C9564D">
        <w:rPr>
          <w:color w:val="000000" w:themeColor="text1"/>
        </w:rPr>
        <w:t>.</w:t>
      </w:r>
    </w:p>
    <w:p w14:paraId="6EC63F76" w14:textId="77777777" w:rsidR="00A57294" w:rsidRPr="00C9564D" w:rsidRDefault="00A57294" w:rsidP="00A57294">
      <w:pPr>
        <w:spacing w:before="120" w:after="120"/>
        <w:jc w:val="both"/>
        <w:rPr>
          <w:color w:val="000000" w:themeColor="text1"/>
        </w:rPr>
      </w:pPr>
    </w:p>
    <w:tbl>
      <w:tblPr>
        <w:tblStyle w:val="TableGrid"/>
        <w:tblW w:w="13585" w:type="dxa"/>
        <w:tblLook w:val="04A0" w:firstRow="1" w:lastRow="0" w:firstColumn="1" w:lastColumn="0" w:noHBand="0" w:noVBand="1"/>
      </w:tblPr>
      <w:tblGrid>
        <w:gridCol w:w="4693"/>
        <w:gridCol w:w="8892"/>
      </w:tblGrid>
      <w:tr w:rsidR="00A57294" w:rsidRPr="00C9564D" w14:paraId="376BF438" w14:textId="77777777" w:rsidTr="0014522C">
        <w:tc>
          <w:tcPr>
            <w:tcW w:w="4693" w:type="dxa"/>
          </w:tcPr>
          <w:p w14:paraId="467D7705" w14:textId="77777777" w:rsidR="00A57294" w:rsidRPr="00C9564D" w:rsidRDefault="00A57294" w:rsidP="00D06125">
            <w:pPr>
              <w:spacing w:before="120" w:after="120"/>
              <w:jc w:val="both"/>
              <w:rPr>
                <w:b/>
                <w:bCs/>
                <w:color w:val="000000" w:themeColor="text1"/>
              </w:rPr>
            </w:pPr>
            <w:r w:rsidRPr="00C9564D">
              <w:rPr>
                <w:b/>
                <w:bCs/>
                <w:color w:val="000000" w:themeColor="text1"/>
              </w:rPr>
              <w:t>The Convention on Biological Diversity (1992-1993)</w:t>
            </w:r>
          </w:p>
        </w:tc>
        <w:tc>
          <w:tcPr>
            <w:tcW w:w="8892" w:type="dxa"/>
          </w:tcPr>
          <w:p w14:paraId="564BDD0C" w14:textId="77777777" w:rsidR="00A57294" w:rsidRPr="00C9564D" w:rsidRDefault="00A57294" w:rsidP="00D06125">
            <w:pPr>
              <w:spacing w:before="120" w:after="120"/>
              <w:jc w:val="both"/>
              <w:rPr>
                <w:color w:val="000000" w:themeColor="text1"/>
              </w:rPr>
            </w:pPr>
            <w:r w:rsidRPr="00C9564D">
              <w:rPr>
                <w:color w:val="000000" w:themeColor="text1"/>
              </w:rPr>
              <w:t>CBD requires Parties “as far as possible and as appropriate (to) prevent the introduction of, control or eradicate those alien species which threaten ecosystems, habitats or species” under the provision of Article 8(h).</w:t>
            </w:r>
          </w:p>
        </w:tc>
      </w:tr>
      <w:tr w:rsidR="00A57294" w:rsidRPr="00C9564D" w14:paraId="262ABD2F" w14:textId="77777777" w:rsidTr="0014522C">
        <w:tc>
          <w:tcPr>
            <w:tcW w:w="4693" w:type="dxa"/>
          </w:tcPr>
          <w:p w14:paraId="4384E089" w14:textId="77777777" w:rsidR="00A57294" w:rsidRPr="00C9564D" w:rsidRDefault="00A57294" w:rsidP="00D06125">
            <w:pPr>
              <w:spacing w:before="120" w:after="120"/>
              <w:jc w:val="both"/>
              <w:rPr>
                <w:color w:val="000000" w:themeColor="text1"/>
              </w:rPr>
            </w:pPr>
            <w:r w:rsidRPr="00C9564D">
              <w:rPr>
                <w:color w:val="000000" w:themeColor="text1"/>
              </w:rPr>
              <w:t>CBD: Conference of the Parties (COP) &amp; Subsidiary Body on Scientific, Technical and Technological Advice (SBSTTA).</w:t>
            </w:r>
          </w:p>
        </w:tc>
        <w:tc>
          <w:tcPr>
            <w:tcW w:w="8892" w:type="dxa"/>
          </w:tcPr>
          <w:p w14:paraId="5BA6B997" w14:textId="77777777" w:rsidR="00A57294" w:rsidRPr="00C9564D" w:rsidRDefault="00A57294" w:rsidP="00D06125">
            <w:pPr>
              <w:spacing w:before="120" w:after="120"/>
              <w:jc w:val="both"/>
              <w:rPr>
                <w:color w:val="000000" w:themeColor="text1"/>
              </w:rPr>
            </w:pPr>
            <w:r w:rsidRPr="00C9564D">
              <w:rPr>
                <w:color w:val="000000" w:themeColor="text1"/>
              </w:rPr>
              <w:t>The Convention made numerous decisions with respect to alien species, many of which are directly relevant to the management of (invasive) alien tree species. In particular, the COP 11 Decision XI/19</w:t>
            </w:r>
            <w:r w:rsidRPr="00C9564D">
              <w:rPr>
                <w:rStyle w:val="FootnoteReference"/>
              </w:rPr>
              <w:footnoteReference w:id="4"/>
            </w:r>
            <w:r w:rsidRPr="00C9564D">
              <w:rPr>
                <w:color w:val="000000" w:themeColor="text1"/>
              </w:rPr>
              <w:t xml:space="preserve"> states that “when designing, implementing and monitoring afforestation, reforestation and forest restoration activities for climate change mitigation, consider conservation of biodiversity and ecosystem services through, for example: (i) Converting only land of low biodiversity value or ecosystems largely composed of non-native species, and preferably degraded ecosystems; (ii) Prioritizing, whenever feasible, local and acclimated native tree species when selecting species for planting; (iii) Avoiding invasive alien species; (iv) Preventing net reduction of carbon stocks in all organic carbon pools; (v) Strategically locating afforestation activities within the landscape to enhance connectivity and increase the provision of ecosystem services within forest areas”.</w:t>
            </w:r>
          </w:p>
        </w:tc>
      </w:tr>
      <w:tr w:rsidR="0098446D" w:rsidRPr="00C9564D" w14:paraId="358B3630" w14:textId="77777777" w:rsidTr="0014522C">
        <w:tc>
          <w:tcPr>
            <w:tcW w:w="4693" w:type="dxa"/>
          </w:tcPr>
          <w:p w14:paraId="646F91DC" w14:textId="22A09465" w:rsidR="0098446D" w:rsidRPr="00C9564D" w:rsidRDefault="0098446D" w:rsidP="0098446D">
            <w:pPr>
              <w:spacing w:before="120" w:after="120"/>
              <w:jc w:val="both"/>
              <w:rPr>
                <w:color w:val="000000" w:themeColor="text1"/>
              </w:rPr>
            </w:pPr>
            <w:r w:rsidRPr="00C9564D">
              <w:rPr>
                <w:color w:val="000000" w:themeColor="text1"/>
              </w:rPr>
              <w:t>Non</w:t>
            </w:r>
            <w:r w:rsidR="00F45B45" w:rsidRPr="00C9564D">
              <w:rPr>
                <w:color w:val="000000" w:themeColor="text1"/>
              </w:rPr>
              <w:t>-L</w:t>
            </w:r>
            <w:r w:rsidRPr="00C9564D">
              <w:rPr>
                <w:color w:val="000000" w:themeColor="text1"/>
              </w:rPr>
              <w:t xml:space="preserve">egally Binding Authoritative Statement of Principles for a Global Consensus on the </w:t>
            </w:r>
            <w:r w:rsidRPr="00C9564D">
              <w:rPr>
                <w:color w:val="000000" w:themeColor="text1"/>
              </w:rPr>
              <w:lastRenderedPageBreak/>
              <w:t>Management, Conservation and Sustainable Development of All Types of Forests ('</w:t>
            </w:r>
            <w:r w:rsidRPr="00C9564D">
              <w:rPr>
                <w:b/>
                <w:bCs/>
                <w:color w:val="000000" w:themeColor="text1"/>
              </w:rPr>
              <w:t>Forest Principles</w:t>
            </w:r>
            <w:r w:rsidRPr="00C9564D">
              <w:rPr>
                <w:color w:val="000000" w:themeColor="text1"/>
              </w:rPr>
              <w:t>')</w:t>
            </w:r>
          </w:p>
        </w:tc>
        <w:tc>
          <w:tcPr>
            <w:tcW w:w="8892" w:type="dxa"/>
          </w:tcPr>
          <w:p w14:paraId="273BA08E" w14:textId="263BDE8D" w:rsidR="0098446D" w:rsidRPr="00C9564D" w:rsidRDefault="0098446D" w:rsidP="0098446D">
            <w:pPr>
              <w:spacing w:before="120" w:after="120"/>
              <w:jc w:val="both"/>
              <w:rPr>
                <w:color w:val="000000" w:themeColor="text1"/>
              </w:rPr>
            </w:pPr>
            <w:r w:rsidRPr="00C9564D">
              <w:rPr>
                <w:color w:val="000000" w:themeColor="text1"/>
              </w:rPr>
              <w:lastRenderedPageBreak/>
              <w:t>The ‘Forest Principles' were adopted in Rio in 1992</w:t>
            </w:r>
            <w:r w:rsidR="00F45B45" w:rsidRPr="00C9564D">
              <w:rPr>
                <w:color w:val="000000" w:themeColor="text1"/>
              </w:rPr>
              <w:t xml:space="preserve"> </w:t>
            </w:r>
            <w:r w:rsidR="00F45B45" w:rsidRPr="00C9564D">
              <w:rPr>
                <w:color w:val="000000" w:themeColor="text1"/>
              </w:rPr>
              <w:fldChar w:fldCharType="begin"/>
            </w:r>
            <w:r w:rsidR="00F45B45" w:rsidRPr="00C9564D">
              <w:rPr>
                <w:color w:val="000000" w:themeColor="text1"/>
              </w:rPr>
              <w:instrText xml:space="preserve"> ADDIN ZOTERO_ITEM CSL_CITATION {"citationID":"Z8787ByF","properties":{"formattedCitation":"(Rosendal 1995)","plainCitation":"(Rosendal 1995)","noteIndex":0},"citationItems":[{"id":669,"uris":["http://zotero.org/users/6602900/items/WH3XDLYC"],"uri":["http://zotero.org/users/6602900/items/WH3XDLYC"],"itemData":{"id":669,"type":"article-journal","abstract":"The article is concerned with the international deliberations for a follow-up mechanism of the UNCED Statement of Forest Principles. The forest issue is complicated by the different scientific approaches to the deforestation problem, as represented by climate change and biodiversity respectively. From the former perspective, reforestation may seem an adequate remedy to solve the problem, while from the latter, biodiversity, much more weight must be put on conservation and sustainable utilization. An additional complication is presented by the political divide between developing and industrialized countries concerning the approach to the problem of deforestation. The focus of the article is on the current three main international arenas in which the issue is being discussed: (i) addressing the forest issue within the framework of the Convention on Biological Diversity, (ii) enlarging the scope of the International Agreement on Tropical Timber (ITTA) to include all types of forests, and (iii) pursuing the forest issue in a World Commission on Forests and Sustainable Development. The feasibility of achieving agreement and effective implementation within the framework of the various options is the focal point of the discussion.","container-title":"Biodiversity &amp; Conservation","DOI":"10.1007/BF00115315","ISSN":"1572-9710","issue":"1","journalAbbreviation":"Biodiversity &amp; Conservation","page":"91-107","title":"The forest issue in post-UNCED international negotiations: conflicting interests and fora for reconciliation","volume":"4","author":[{"family":"Rosendal","given":"G. Kristin"}],"issued":{"date-parts":[["1995",2,1]]}}}],"schema":"https://github.com/citation-style-language/schema/raw/master/csl-citation.json"} </w:instrText>
            </w:r>
            <w:r w:rsidR="00F45B45" w:rsidRPr="00C9564D">
              <w:rPr>
                <w:color w:val="000000" w:themeColor="text1"/>
              </w:rPr>
              <w:fldChar w:fldCharType="separate"/>
            </w:r>
            <w:r w:rsidR="00026EED" w:rsidRPr="00026EED">
              <w:t>(Rosendal 1995)</w:t>
            </w:r>
            <w:r w:rsidR="00F45B45" w:rsidRPr="00C9564D">
              <w:rPr>
                <w:color w:val="000000" w:themeColor="text1"/>
              </w:rPr>
              <w:fldChar w:fldCharType="end"/>
            </w:r>
            <w:r w:rsidR="00F45B45" w:rsidRPr="00C9564D">
              <w:rPr>
                <w:color w:val="000000" w:themeColor="text1"/>
              </w:rPr>
              <w:t>.</w:t>
            </w:r>
            <w:r w:rsidRPr="00C9564D">
              <w:rPr>
                <w:color w:val="000000" w:themeColor="text1"/>
              </w:rPr>
              <w:t xml:space="preserve"> The Non-Legally Binding Instrument on All Types of Forests ('NLBI'), was adopted by the United Nations </w:t>
            </w:r>
            <w:r w:rsidRPr="00C9564D">
              <w:rPr>
                <w:color w:val="000000" w:themeColor="text1"/>
              </w:rPr>
              <w:lastRenderedPageBreak/>
              <w:t>General Assembly in 2007, after three intense years of negotiations  According to principle 6 (a), “all types of forests play an important role in meeting energy requirements through the provision of a renewable source of bio-energy, particularly in developing countries, and the demands for fuelwood for household and industrial needs should be met through sustainable forest management, afforestation and reforestation. To this end, the potential contribution of plantations of both indigenous and introduced species for the provision of both fuel and industrial wood should be recognized”.</w:t>
            </w:r>
          </w:p>
        </w:tc>
      </w:tr>
      <w:tr w:rsidR="00A57294" w:rsidRPr="00C9564D" w14:paraId="67A41E93" w14:textId="77777777" w:rsidTr="0014522C">
        <w:tc>
          <w:tcPr>
            <w:tcW w:w="4693" w:type="dxa"/>
          </w:tcPr>
          <w:p w14:paraId="50A87A0E" w14:textId="77777777" w:rsidR="00A57294" w:rsidRPr="00C9564D" w:rsidRDefault="00A57294" w:rsidP="00D06125">
            <w:pPr>
              <w:spacing w:before="120" w:after="120"/>
              <w:jc w:val="both"/>
              <w:rPr>
                <w:b/>
                <w:bCs/>
                <w:color w:val="000000" w:themeColor="text1"/>
              </w:rPr>
            </w:pPr>
            <w:r w:rsidRPr="00C9564D">
              <w:rPr>
                <w:b/>
                <w:bCs/>
                <w:color w:val="000000" w:themeColor="text1"/>
              </w:rPr>
              <w:lastRenderedPageBreak/>
              <w:t>The United Nations Framework Convention on Climate Change (UNFCCC) (1992-1993) &amp; COPs</w:t>
            </w:r>
          </w:p>
        </w:tc>
        <w:tc>
          <w:tcPr>
            <w:tcW w:w="8892" w:type="dxa"/>
          </w:tcPr>
          <w:p w14:paraId="6A5F5DF3" w14:textId="77777777" w:rsidR="00A57294" w:rsidRPr="00C9564D" w:rsidRDefault="00A57294" w:rsidP="00D06125">
            <w:pPr>
              <w:spacing w:before="120" w:after="120"/>
              <w:jc w:val="both"/>
              <w:rPr>
                <w:color w:val="000000" w:themeColor="text1"/>
              </w:rPr>
            </w:pPr>
            <w:r w:rsidRPr="00C9564D">
              <w:rPr>
                <w:color w:val="000000" w:themeColor="text1"/>
              </w:rPr>
              <w:t>(Kyoto Protocol, Paris Agreement, The Boon Challenge). The Bonn Challenge is a practical means of realizing many existing international commitments, including the CBD Aichi Target 15, the UNFCCC REDD+ goal, and the Rio+20 land degradation neutrality goal.</w:t>
            </w:r>
          </w:p>
        </w:tc>
      </w:tr>
      <w:tr w:rsidR="00A57294" w:rsidRPr="00C9564D" w14:paraId="3ECFEC6E" w14:textId="77777777" w:rsidTr="0014522C">
        <w:tc>
          <w:tcPr>
            <w:tcW w:w="4693" w:type="dxa"/>
          </w:tcPr>
          <w:p w14:paraId="1E35CB71" w14:textId="77777777" w:rsidR="00A57294" w:rsidRPr="00C9564D" w:rsidRDefault="00A57294" w:rsidP="00D06125">
            <w:pPr>
              <w:spacing w:before="120" w:after="120"/>
              <w:jc w:val="both"/>
              <w:rPr>
                <w:b/>
                <w:bCs/>
                <w:color w:val="000000" w:themeColor="text1"/>
              </w:rPr>
            </w:pPr>
            <w:r w:rsidRPr="00C9564D">
              <w:rPr>
                <w:b/>
                <w:bCs/>
                <w:color w:val="000000" w:themeColor="text1"/>
              </w:rPr>
              <w:t>The United Nations Convention to Combat Desertification (UNCCD) (1994) &amp; COPs</w:t>
            </w:r>
          </w:p>
        </w:tc>
        <w:tc>
          <w:tcPr>
            <w:tcW w:w="8892" w:type="dxa"/>
          </w:tcPr>
          <w:p w14:paraId="10CA5FF5" w14:textId="77777777" w:rsidR="00A57294" w:rsidRPr="00C9564D" w:rsidRDefault="00A57294" w:rsidP="00D06125">
            <w:pPr>
              <w:spacing w:before="120" w:after="120"/>
              <w:jc w:val="both"/>
              <w:rPr>
                <w:color w:val="000000" w:themeColor="text1"/>
              </w:rPr>
            </w:pPr>
            <w:r w:rsidRPr="00C9564D">
              <w:rPr>
                <w:b/>
                <w:bCs/>
                <w:color w:val="000000" w:themeColor="text1"/>
              </w:rPr>
              <w:t>Land Degradation Neutrality</w:t>
            </w:r>
            <w:r w:rsidRPr="00C9564D">
              <w:rPr>
                <w:color w:val="000000" w:themeColor="text1"/>
              </w:rPr>
              <w:t xml:space="preserve"> (LDN) represents a paradigm shift in land management policies and practices. As a voluntary and flexible process, the United Nations Convention to Combat Desertification (UNCCD) Parties recognized LDN as “a strong vehicle for driving implementation of the UNCCD”, with the adoption of various decisions (Decision 3/COP.12). The protection of natural habitat and the sustainable land management promoted by LDN can enhance the resilience of ecosystems and thus reduce their vulnerability to invasion and harm from invasive alien species. Restoration activities for LDN may directly target invasive alien species for removal (UNCCD, 2019</w:t>
            </w:r>
            <w:r w:rsidRPr="00C9564D">
              <w:rPr>
                <w:rStyle w:val="FootnoteReference"/>
              </w:rPr>
              <w:footnoteReference w:id="5"/>
            </w:r>
            <w:r w:rsidRPr="00C9564D">
              <w:rPr>
                <w:color w:val="000000" w:themeColor="text1"/>
              </w:rPr>
              <w:t>).</w:t>
            </w:r>
          </w:p>
        </w:tc>
      </w:tr>
      <w:tr w:rsidR="00A57294" w:rsidRPr="00C9564D" w14:paraId="28B5E5F4" w14:textId="77777777" w:rsidTr="0014522C">
        <w:tc>
          <w:tcPr>
            <w:tcW w:w="4693" w:type="dxa"/>
          </w:tcPr>
          <w:p w14:paraId="49AE1B2A" w14:textId="77777777" w:rsidR="00A57294" w:rsidRPr="00C9564D" w:rsidRDefault="00A57294" w:rsidP="00D06125">
            <w:pPr>
              <w:spacing w:before="120" w:after="120"/>
              <w:jc w:val="both"/>
              <w:rPr>
                <w:b/>
                <w:bCs/>
                <w:color w:val="000000" w:themeColor="text1"/>
              </w:rPr>
            </w:pPr>
            <w:r w:rsidRPr="00C9564D">
              <w:rPr>
                <w:b/>
                <w:bCs/>
                <w:color w:val="000000" w:themeColor="text1"/>
              </w:rPr>
              <w:t>The Council of Europe and the Bern Convention</w:t>
            </w:r>
          </w:p>
        </w:tc>
        <w:tc>
          <w:tcPr>
            <w:tcW w:w="8892" w:type="dxa"/>
          </w:tcPr>
          <w:p w14:paraId="375506FB" w14:textId="77777777" w:rsidR="00A57294" w:rsidRPr="00C9564D" w:rsidRDefault="00A57294" w:rsidP="00D06125">
            <w:pPr>
              <w:spacing w:before="120" w:after="120"/>
              <w:jc w:val="both"/>
              <w:rPr>
                <w:color w:val="000000" w:themeColor="text1"/>
              </w:rPr>
            </w:pPr>
            <w:r w:rsidRPr="00C9564D">
              <w:rPr>
                <w:color w:val="000000" w:themeColor="text1"/>
              </w:rPr>
              <w:t>The Council of Europe</w:t>
            </w:r>
            <w:r w:rsidRPr="00C9564D">
              <w:rPr>
                <w:rStyle w:val="FootnoteReference"/>
              </w:rPr>
              <w:footnoteReference w:id="6"/>
            </w:r>
            <w:r w:rsidRPr="00C9564D">
              <w:rPr>
                <w:color w:val="000000" w:themeColor="text1"/>
                <w:vertAlign w:val="superscript"/>
              </w:rPr>
              <w:t xml:space="preserve"> </w:t>
            </w:r>
            <w:r w:rsidRPr="00C9564D">
              <w:rPr>
                <w:color w:val="000000" w:themeColor="text1"/>
              </w:rPr>
              <w:t xml:space="preserve">promotes actions (without any regulatory mandate), to avoid the intentional introduction and spread of alien species, to prevent accidental introductions and to build an information system on invasive alien species (IAS). In 1984, the Committee of Ministers of the Council of Europe adopted a recommendation to that effect. Also, the Bern Convention (Convention on the Conservation of European Wildlife and Natural Habitats), </w:t>
            </w:r>
            <w:r w:rsidRPr="00C9564D">
              <w:rPr>
                <w:color w:val="000000" w:themeColor="text1"/>
              </w:rPr>
              <w:lastRenderedPageBreak/>
              <w:t>the main Council of Europe treaty in the field of biodiversity conservation, requires its Contracting Parties “to strictly control the introduction of non-native species</w:t>
            </w:r>
            <w:r w:rsidRPr="00C9564D">
              <w:rPr>
                <w:rStyle w:val="FootnoteReference"/>
              </w:rPr>
              <w:footnoteReference w:id="7"/>
            </w:r>
            <w:r w:rsidRPr="00C9564D">
              <w:rPr>
                <w:color w:val="000000" w:themeColor="text1"/>
              </w:rPr>
              <w:t>”.</w:t>
            </w:r>
          </w:p>
          <w:p w14:paraId="53F9942A" w14:textId="77777777" w:rsidR="00A57294" w:rsidRPr="00C9564D" w:rsidRDefault="00A57294" w:rsidP="00D06125">
            <w:pPr>
              <w:spacing w:before="120" w:after="120"/>
              <w:jc w:val="both"/>
              <w:rPr>
                <w:color w:val="000000" w:themeColor="text1"/>
              </w:rPr>
            </w:pPr>
            <w:r w:rsidRPr="00C9564D">
              <w:rPr>
                <w:color w:val="000000" w:themeColor="text1"/>
              </w:rPr>
              <w:t>In 2003, the Bern Convention adopted the European Strategy on Invasive Alien Species (Genovesi and Shine 2004), aimed at providing precise guidance to European governments on IAS issues. Many Recommendations on IAS have been adopted by the Standing Committee since 1997</w:t>
            </w:r>
            <w:r w:rsidRPr="00C9564D">
              <w:rPr>
                <w:rStyle w:val="FootnoteReference"/>
              </w:rPr>
              <w:footnoteReference w:id="8"/>
            </w:r>
            <w:r w:rsidRPr="00C9564D">
              <w:rPr>
                <w:color w:val="000000" w:themeColor="text1"/>
              </w:rPr>
              <w:t>.</w:t>
            </w:r>
          </w:p>
        </w:tc>
      </w:tr>
      <w:tr w:rsidR="00A57294" w:rsidRPr="00C9564D" w14:paraId="00EC2894" w14:textId="77777777" w:rsidTr="0014522C">
        <w:tc>
          <w:tcPr>
            <w:tcW w:w="4693" w:type="dxa"/>
          </w:tcPr>
          <w:p w14:paraId="65437B2F" w14:textId="77777777" w:rsidR="00A57294" w:rsidRPr="00C9564D" w:rsidRDefault="00A57294" w:rsidP="00D06125">
            <w:pPr>
              <w:spacing w:before="120" w:after="120"/>
              <w:jc w:val="both"/>
              <w:rPr>
                <w:color w:val="000000" w:themeColor="text1"/>
              </w:rPr>
            </w:pPr>
            <w:r w:rsidRPr="00C9564D">
              <w:rPr>
                <w:b/>
                <w:bCs/>
                <w:color w:val="000000" w:themeColor="text1"/>
              </w:rPr>
              <w:lastRenderedPageBreak/>
              <w:t>The International Plant Protection Convention</w:t>
            </w:r>
            <w:r w:rsidRPr="00C9564D">
              <w:rPr>
                <w:color w:val="000000" w:themeColor="text1"/>
              </w:rPr>
              <w:t xml:space="preserve"> (FAO/IPPC) (1950)</w:t>
            </w:r>
          </w:p>
        </w:tc>
        <w:tc>
          <w:tcPr>
            <w:tcW w:w="8892" w:type="dxa"/>
          </w:tcPr>
          <w:p w14:paraId="68D9A718" w14:textId="77777777" w:rsidR="00A57294" w:rsidRPr="00C9564D" w:rsidRDefault="00A57294" w:rsidP="00D06125">
            <w:pPr>
              <w:spacing w:before="120" w:after="120"/>
              <w:jc w:val="both"/>
              <w:rPr>
                <w:color w:val="000000" w:themeColor="text1"/>
              </w:rPr>
            </w:pPr>
            <w:r w:rsidRPr="00C9564D">
              <w:rPr>
                <w:color w:val="000000" w:themeColor="text1"/>
              </w:rPr>
              <w:t xml:space="preserve">The International Plant Protection Convention (IPPC), which has existed since the 1950s, aims to prevent the introduction and spread of plant pests. National plant protection services and the governing body of the IPPC, the Interim Commission on Phytosanitary Measures (ICPM), recognized that the aim of the CBD to prevent the introduction of alien species corresponds in large measure to the aim of the IPPC. Since 1999, the ICPM has been actively engaged in clarifying its role in regard to invasive alien species that are plant pests. In 2001, it determined that such species should be considered quarantine pests and should be subjected to measures according to IPPC provisions. The ICPM also decided that IPPC standards should be reviewed to ensure that they adequately address environmental risks of plant pests. In 2003, the ICPM adopted supplements to two of the international standards for phytosanitary measures (namely Glossary of phytosanitary terms and Pest risk analysis for quarantine pests). These supplements elaborated on environmental considerations. To </w:t>
            </w:r>
            <w:r w:rsidRPr="00C9564D">
              <w:rPr>
                <w:color w:val="000000" w:themeColor="text1"/>
              </w:rPr>
              <w:lastRenderedPageBreak/>
              <w:t>avoid conflicting developments within the IPPC and the CBD regarding invasive alien species and plant pests (Lopian 2005; Brunel et al. 2009).</w:t>
            </w:r>
          </w:p>
        </w:tc>
      </w:tr>
      <w:tr w:rsidR="00A57294" w:rsidRPr="00C9564D" w14:paraId="127350C6" w14:textId="77777777" w:rsidTr="0014522C">
        <w:tc>
          <w:tcPr>
            <w:tcW w:w="4693" w:type="dxa"/>
          </w:tcPr>
          <w:p w14:paraId="7EDD559B" w14:textId="77777777" w:rsidR="00A57294" w:rsidRPr="00C9564D" w:rsidRDefault="00A57294" w:rsidP="00D06125">
            <w:pPr>
              <w:spacing w:before="120" w:after="120"/>
              <w:jc w:val="both"/>
              <w:rPr>
                <w:b/>
                <w:bCs/>
                <w:color w:val="000000" w:themeColor="text1"/>
              </w:rPr>
            </w:pPr>
            <w:r w:rsidRPr="00C9564D">
              <w:rPr>
                <w:b/>
                <w:bCs/>
                <w:color w:val="000000" w:themeColor="text1"/>
              </w:rPr>
              <w:lastRenderedPageBreak/>
              <w:t>The European and Mediterranean Plant Protection Organisation (EPPO)</w:t>
            </w:r>
          </w:p>
        </w:tc>
        <w:tc>
          <w:tcPr>
            <w:tcW w:w="8892" w:type="dxa"/>
          </w:tcPr>
          <w:p w14:paraId="0C2A2315" w14:textId="47D04213" w:rsidR="00A57294" w:rsidRPr="00C9564D" w:rsidRDefault="00A57294" w:rsidP="00D06125">
            <w:pPr>
              <w:spacing w:before="120" w:after="120"/>
              <w:jc w:val="both"/>
              <w:rPr>
                <w:color w:val="000000" w:themeColor="text1"/>
              </w:rPr>
            </w:pPr>
            <w:r w:rsidRPr="00C9564D">
              <w:rPr>
                <w:color w:val="000000" w:themeColor="text1"/>
              </w:rPr>
              <w:t xml:space="preserve">In 2002 a Panel on Invasive Alien Species which was charged with identifying invasive plant species that may present a risk to the EPPO region </w:t>
            </w:r>
            <w:r w:rsidR="0080187B" w:rsidRPr="00C9564D">
              <w:rPr>
                <w:color w:val="000000" w:themeColor="text1"/>
              </w:rPr>
              <w:t xml:space="preserve">(https://www.eppo.int/) </w:t>
            </w:r>
            <w:r w:rsidRPr="00C9564D">
              <w:rPr>
                <w:color w:val="000000" w:themeColor="text1"/>
              </w:rPr>
              <w:t>and proposing measures to prevent their introduction and spread and recommendations on ways to eradicate, suppress and contain invasive alien species that have already been introduced. Available PRAs and PM/9 for non-native trees</w:t>
            </w:r>
            <w:r w:rsidR="0080187B" w:rsidRPr="00C9564D">
              <w:rPr>
                <w:color w:val="000000" w:themeColor="text1"/>
              </w:rPr>
              <w:t xml:space="preserve"> are available on the EPPO web site</w:t>
            </w:r>
            <w:r w:rsidR="008E32F7" w:rsidRPr="00C9564D">
              <w:rPr>
                <w:color w:val="000000" w:themeColor="text1"/>
              </w:rPr>
              <w:t xml:space="preserve">, as in the case of </w:t>
            </w:r>
            <w:r w:rsidR="008E32F7" w:rsidRPr="00C9564D">
              <w:rPr>
                <w:i/>
                <w:iCs/>
                <w:color w:val="000000" w:themeColor="text1"/>
              </w:rPr>
              <w:t xml:space="preserve">Ailanthus altissima </w:t>
            </w:r>
            <w:r w:rsidR="008E32F7" w:rsidRPr="00C9564D">
              <w:rPr>
                <w:i/>
                <w:iCs/>
                <w:color w:val="000000" w:themeColor="text1"/>
              </w:rPr>
              <w:fldChar w:fldCharType="begin"/>
            </w:r>
            <w:r w:rsidR="008E32F7" w:rsidRPr="00C9564D">
              <w:rPr>
                <w:i/>
                <w:iCs/>
                <w:color w:val="000000" w:themeColor="text1"/>
              </w:rPr>
              <w:instrText xml:space="preserve"> ADDIN ZOTERO_ITEM CSL_CITATION {"citationID":"buWBUwQe","properties":{"formattedCitation":"(EPPO 2020)","plainCitation":"(EPPO 2020)","noteIndex":0},"citationItems":[{"id":258,"uris":["http://zotero.org/users/6602900/items/DQNCXZEA"],"uri":["http://zotero.org/users/6602900/items/DQNCXZEA"],"itemData":{"id":258,"type":"article-journal","abstract":"Specific scope This Standard describes the control procedures aiming to monitor, contain and eradicate Ailanthus altissima. Specific approval and amendment First approved in 2019?09.","container-title":"EPPO Bulletin","DOI":"10.1111/epp.12621","ISSN":"0250-8052","issue":"1","journalAbbreviation":"EPPO Bulletin","note":"publisher: John Wiley &amp; Sons, Ltd","page":"148-155","title":"PM 9/29 (1) Ailanthus altissima","volume":"50","author":[{"family":"EPPO","given":""}],"issued":{"date-parts":[["2020",4,1]]}},"locator":"9"}],"schema":"https://github.com/citation-style-language/schema/raw/master/csl-citation.json"} </w:instrText>
            </w:r>
            <w:r w:rsidR="008E32F7" w:rsidRPr="00C9564D">
              <w:rPr>
                <w:i/>
                <w:iCs/>
                <w:color w:val="000000" w:themeColor="text1"/>
              </w:rPr>
              <w:fldChar w:fldCharType="separate"/>
            </w:r>
            <w:r w:rsidR="00026EED" w:rsidRPr="00026EED">
              <w:t>(EPPO 2020)</w:t>
            </w:r>
            <w:r w:rsidR="008E32F7" w:rsidRPr="00C9564D">
              <w:rPr>
                <w:i/>
                <w:iCs/>
                <w:color w:val="000000" w:themeColor="text1"/>
              </w:rPr>
              <w:fldChar w:fldCharType="end"/>
            </w:r>
            <w:r w:rsidR="008E32F7" w:rsidRPr="00C9564D">
              <w:rPr>
                <w:color w:val="000000" w:themeColor="text1"/>
              </w:rPr>
              <w:t>.</w:t>
            </w:r>
          </w:p>
          <w:p w14:paraId="4790A0BD" w14:textId="77777777" w:rsidR="00A57294" w:rsidRPr="00C9564D" w:rsidRDefault="00A57294" w:rsidP="00D06125">
            <w:pPr>
              <w:spacing w:before="120" w:after="120"/>
              <w:jc w:val="both"/>
              <w:rPr>
                <w:color w:val="000000" w:themeColor="text1"/>
              </w:rPr>
            </w:pPr>
          </w:p>
        </w:tc>
      </w:tr>
      <w:tr w:rsidR="00A57294" w:rsidRPr="00C9564D" w14:paraId="5E12F6F8" w14:textId="77777777" w:rsidTr="0014522C">
        <w:tc>
          <w:tcPr>
            <w:tcW w:w="4693" w:type="dxa"/>
          </w:tcPr>
          <w:p w14:paraId="6CEE74CC" w14:textId="77777777" w:rsidR="00A57294" w:rsidRPr="00C9564D" w:rsidRDefault="00A57294" w:rsidP="00D06125">
            <w:pPr>
              <w:spacing w:before="120" w:after="120"/>
              <w:jc w:val="both"/>
              <w:rPr>
                <w:b/>
                <w:bCs/>
                <w:color w:val="000000" w:themeColor="text1"/>
              </w:rPr>
            </w:pPr>
            <w:r w:rsidRPr="00C9564D">
              <w:rPr>
                <w:b/>
                <w:bCs/>
                <w:color w:val="000000" w:themeColor="text1"/>
              </w:rPr>
              <w:t>The Convention on International Trade in Endangered Species of Wild Fauna and Flora (CITES)</w:t>
            </w:r>
          </w:p>
        </w:tc>
        <w:tc>
          <w:tcPr>
            <w:tcW w:w="8892" w:type="dxa"/>
          </w:tcPr>
          <w:p w14:paraId="1303B125" w14:textId="77777777" w:rsidR="00A57294" w:rsidRPr="00C9564D" w:rsidRDefault="00A57294" w:rsidP="00D06125">
            <w:pPr>
              <w:spacing w:before="120" w:after="120"/>
              <w:jc w:val="both"/>
              <w:rPr>
                <w:color w:val="000000" w:themeColor="text1"/>
              </w:rPr>
            </w:pPr>
            <w:r w:rsidRPr="00C9564D">
              <w:rPr>
                <w:color w:val="000000" w:themeColor="text1"/>
              </w:rPr>
              <w:t>CITES, which primarily addresses trade in endangered species, can prevent or better regulate the transfer of endangered species that may be invasive alien. It has three different levels of protection for species, reported as Appendices</w:t>
            </w:r>
            <w:r w:rsidRPr="00C9564D">
              <w:rPr>
                <w:rStyle w:val="FootnoteReference"/>
              </w:rPr>
              <w:footnoteReference w:id="9"/>
            </w:r>
            <w:r w:rsidRPr="00C9564D">
              <w:rPr>
                <w:color w:val="000000" w:themeColor="text1"/>
              </w:rPr>
              <w:t xml:space="preserve">. Although there are literally thousands of plant species protected under CITES, only a portion of these species are trees, and of the included tree species, only a relatively small portion of them are actually used as lumber. </w:t>
            </w:r>
            <w:r w:rsidRPr="00C9564D">
              <w:rPr>
                <w:i/>
                <w:color w:val="000000" w:themeColor="text1"/>
              </w:rPr>
              <w:t>Araucaria araucana</w:t>
            </w:r>
            <w:r w:rsidRPr="00C9564D">
              <w:rPr>
                <w:rStyle w:val="FootnoteReference"/>
              </w:rPr>
              <w:footnoteReference w:id="10"/>
            </w:r>
            <w:r w:rsidRPr="00C9564D">
              <w:rPr>
                <w:color w:val="000000" w:themeColor="text1"/>
              </w:rPr>
              <w:t xml:space="preserve"> and </w:t>
            </w:r>
            <w:r w:rsidRPr="00C9564D">
              <w:rPr>
                <w:i/>
                <w:color w:val="000000" w:themeColor="text1"/>
              </w:rPr>
              <w:t>Dalbergia nigra</w:t>
            </w:r>
            <w:r w:rsidRPr="00C9564D">
              <w:rPr>
                <w:rStyle w:val="FootnoteReference"/>
              </w:rPr>
              <w:footnoteReference w:id="11"/>
            </w:r>
            <w:r w:rsidRPr="00C9564D">
              <w:rPr>
                <w:color w:val="000000" w:themeColor="text1"/>
              </w:rPr>
              <w:t xml:space="preserve"> are included in Appendix I. </w:t>
            </w:r>
          </w:p>
          <w:p w14:paraId="0FAF95D0" w14:textId="77777777" w:rsidR="00A57294" w:rsidRPr="00C9564D" w:rsidRDefault="00A57294" w:rsidP="00D06125">
            <w:pPr>
              <w:spacing w:before="120" w:after="120"/>
              <w:jc w:val="both"/>
              <w:rPr>
                <w:color w:val="000000" w:themeColor="text1"/>
              </w:rPr>
            </w:pPr>
          </w:p>
        </w:tc>
      </w:tr>
      <w:tr w:rsidR="00A57294" w:rsidRPr="00C9564D" w14:paraId="75C02342" w14:textId="77777777" w:rsidTr="0014522C">
        <w:tc>
          <w:tcPr>
            <w:tcW w:w="4693" w:type="dxa"/>
          </w:tcPr>
          <w:p w14:paraId="189980F5" w14:textId="77777777" w:rsidR="00A57294" w:rsidRPr="00C9564D" w:rsidRDefault="00A57294" w:rsidP="00D06125">
            <w:pPr>
              <w:spacing w:before="120" w:after="120"/>
              <w:jc w:val="both"/>
              <w:rPr>
                <w:color w:val="000000" w:themeColor="text1"/>
              </w:rPr>
            </w:pPr>
            <w:r w:rsidRPr="00C9564D">
              <w:rPr>
                <w:b/>
                <w:bCs/>
                <w:color w:val="000000" w:themeColor="text1"/>
              </w:rPr>
              <w:lastRenderedPageBreak/>
              <w:t>Forest Principles</w:t>
            </w:r>
            <w:r w:rsidRPr="00C9564D">
              <w:rPr>
                <w:color w:val="000000" w:themeColor="text1"/>
              </w:rPr>
              <w:t>, i.e. “Non-Legally Binding Authoritative Statement of Principles for a Global Consensus on the Management, Conservation and Sustainable Development of All Types of Forests”</w:t>
            </w:r>
          </w:p>
        </w:tc>
        <w:tc>
          <w:tcPr>
            <w:tcW w:w="8892" w:type="dxa"/>
          </w:tcPr>
          <w:p w14:paraId="53F4E9F4" w14:textId="77777777" w:rsidR="00A57294" w:rsidRPr="00C9564D" w:rsidRDefault="00A57294" w:rsidP="00D06125">
            <w:pPr>
              <w:spacing w:before="120" w:after="120"/>
              <w:jc w:val="both"/>
              <w:rPr>
                <w:color w:val="000000" w:themeColor="text1"/>
              </w:rPr>
            </w:pPr>
            <w:r w:rsidRPr="00C9564D">
              <w:rPr>
                <w:color w:val="000000" w:themeColor="text1"/>
              </w:rPr>
              <w:t>These principles should apply to all types of forests, both natural and planted, in all geographical regions and climatic zones and, importantly, principle 6 (a) states that “all types of forests play an important role in meeting energy requirements through the provision of a renewable source of bio-energy, and that the potential contribution of plantations of both indigenous and introduced species for the provision of both fuel and industrial wood should be recognized”.</w:t>
            </w:r>
          </w:p>
        </w:tc>
      </w:tr>
      <w:tr w:rsidR="00A57294" w:rsidRPr="00C9564D" w14:paraId="6FA65C4F" w14:textId="77777777" w:rsidTr="0014522C">
        <w:tc>
          <w:tcPr>
            <w:tcW w:w="4693" w:type="dxa"/>
          </w:tcPr>
          <w:p w14:paraId="67159136" w14:textId="77777777" w:rsidR="00A57294" w:rsidRPr="00C9564D" w:rsidRDefault="00A57294" w:rsidP="00D06125">
            <w:pPr>
              <w:spacing w:before="120" w:after="120"/>
              <w:jc w:val="both"/>
              <w:rPr>
                <w:b/>
                <w:bCs/>
                <w:color w:val="000000" w:themeColor="text1"/>
              </w:rPr>
            </w:pPr>
            <w:r w:rsidRPr="00C9564D">
              <w:rPr>
                <w:b/>
                <w:bCs/>
                <w:color w:val="000000" w:themeColor="text1"/>
              </w:rPr>
              <w:t>Amazon Cooperation Treaty Organization – (ACTO) (1978 - 1980 as ACT).</w:t>
            </w:r>
          </w:p>
        </w:tc>
        <w:tc>
          <w:tcPr>
            <w:tcW w:w="8892" w:type="dxa"/>
          </w:tcPr>
          <w:p w14:paraId="4170B6BC" w14:textId="77777777" w:rsidR="00A57294" w:rsidRPr="00C9564D" w:rsidRDefault="00A57294" w:rsidP="00D06125">
            <w:pPr>
              <w:spacing w:before="120" w:after="120"/>
              <w:jc w:val="both"/>
              <w:rPr>
                <w:color w:val="000000" w:themeColor="text1"/>
              </w:rPr>
            </w:pPr>
            <w:r w:rsidRPr="00C9564D">
              <w:rPr>
                <w:color w:val="000000" w:themeColor="text1"/>
              </w:rPr>
              <w:t>The 2004-2012 Strategic Plan</w:t>
            </w:r>
          </w:p>
          <w:p w14:paraId="1C1F1647" w14:textId="1D5890B4" w:rsidR="00A57294" w:rsidRPr="00C9564D" w:rsidRDefault="00A57294" w:rsidP="00D06125">
            <w:pPr>
              <w:spacing w:before="120" w:after="120"/>
              <w:jc w:val="both"/>
              <w:rPr>
                <w:color w:val="000000" w:themeColor="text1"/>
              </w:rPr>
            </w:pPr>
            <w:r w:rsidRPr="00C9564D">
              <w:rPr>
                <w:color w:val="000000" w:themeColor="text1"/>
              </w:rPr>
              <w:t xml:space="preserve">The </w:t>
            </w:r>
            <w:r w:rsidR="0003608A" w:rsidRPr="00C9564D">
              <w:rPr>
                <w:color w:val="000000" w:themeColor="text1"/>
              </w:rPr>
              <w:t>“</w:t>
            </w:r>
            <w:r w:rsidRPr="00C9564D">
              <w:rPr>
                <w:color w:val="000000" w:themeColor="text1"/>
              </w:rPr>
              <w:t xml:space="preserve">Tarapoto </w:t>
            </w:r>
            <w:r w:rsidR="0003608A" w:rsidRPr="00C9564D">
              <w:rPr>
                <w:color w:val="000000" w:themeColor="text1"/>
              </w:rPr>
              <w:t>P</w:t>
            </w:r>
            <w:r w:rsidRPr="00C9564D">
              <w:rPr>
                <w:color w:val="000000" w:themeColor="text1"/>
              </w:rPr>
              <w:t>roposal</w:t>
            </w:r>
            <w:r w:rsidR="0003608A" w:rsidRPr="00C9564D">
              <w:rPr>
                <w:color w:val="000000" w:themeColor="text1"/>
              </w:rPr>
              <w:t>”</w:t>
            </w:r>
            <w:r w:rsidRPr="00C9564D">
              <w:rPr>
                <w:color w:val="000000" w:themeColor="text1"/>
              </w:rPr>
              <w:t xml:space="preserve"> for the Amazon forest</w:t>
            </w:r>
            <w:r w:rsidR="0003608A" w:rsidRPr="00C9564D">
              <w:rPr>
                <w:color w:val="000000" w:themeColor="text1"/>
              </w:rPr>
              <w:t xml:space="preserve"> identified 12 criteria and 77 indicators that explain features of the region’s ecosystems and associated social and cultural factors. The criteria and indicators provide a framework for measuring Amazon Forest sustainability</w:t>
            </w:r>
            <w:r w:rsidR="008E32F7" w:rsidRPr="00C9564D">
              <w:rPr>
                <w:color w:val="000000" w:themeColor="text1"/>
              </w:rPr>
              <w:t xml:space="preserve"> </w:t>
            </w:r>
            <w:r w:rsidR="008E32F7" w:rsidRPr="00C9564D">
              <w:rPr>
                <w:color w:val="000000" w:themeColor="text1"/>
              </w:rPr>
              <w:fldChar w:fldCharType="begin"/>
            </w:r>
            <w:r w:rsidR="008E32F7" w:rsidRPr="00C9564D">
              <w:rPr>
                <w:color w:val="000000" w:themeColor="text1"/>
              </w:rPr>
              <w:instrText xml:space="preserve"> ADDIN ZOTERO_ITEM CSL_CITATION {"citationID":"09WUNqJ4","properties":{"formattedCitation":"(Tarasofsky 1999)","plainCitation":"(Tarasofsky 1999)","noteIndex":0},"citationItems":[{"id":626,"uris":["http://zotero.org/users/6602900/items/UBR5P6GN"],"uri":["http://zotero.org/users/6602900/items/UBR5P6GN"],"itemData":{"id":626,"type":"book","collection-title":"IUCN Environmental Law Centre","event-place":"Gland, Switzerland and Cambridge, UK and Bonn, Germany","ISBN":"2-8317-0472-3","number-of-pages":"156","publisher":"IUCN - The World Conservation Union","publisher-place":"Gland, Switzerland and Cambridge, UK and Bonn, Germany","title":"Assessing the International Forest Regime","URL":"https://portals.iucn.org/library/sites/library/files/documents/EPLP-037.pdf","author":[{"family":"Tarasofsky","given":"Richard G."}],"issued":{"date-parts":[["1999"]]}}}],"schema":"https://github.com/citation-style-language/schema/raw/master/csl-citation.json"} </w:instrText>
            </w:r>
            <w:r w:rsidR="008E32F7" w:rsidRPr="00C9564D">
              <w:rPr>
                <w:color w:val="000000" w:themeColor="text1"/>
              </w:rPr>
              <w:fldChar w:fldCharType="separate"/>
            </w:r>
            <w:r w:rsidR="00026EED" w:rsidRPr="00026EED">
              <w:t>(Tarasofsky 1999)</w:t>
            </w:r>
            <w:r w:rsidR="008E32F7" w:rsidRPr="00C9564D">
              <w:rPr>
                <w:color w:val="000000" w:themeColor="text1"/>
              </w:rPr>
              <w:fldChar w:fldCharType="end"/>
            </w:r>
            <w:r w:rsidR="008E32F7" w:rsidRPr="00C9564D">
              <w:rPr>
                <w:color w:val="000000" w:themeColor="text1"/>
              </w:rPr>
              <w:t>.</w:t>
            </w:r>
            <w:r w:rsidR="0003608A" w:rsidRPr="00C9564D">
              <w:rPr>
                <w:color w:val="000000" w:themeColor="text1"/>
              </w:rPr>
              <w:t xml:space="preserve"> </w:t>
            </w:r>
          </w:p>
        </w:tc>
      </w:tr>
      <w:tr w:rsidR="00A57294" w:rsidRPr="00C9564D" w14:paraId="30EF4102" w14:textId="77777777" w:rsidTr="0014522C">
        <w:tc>
          <w:tcPr>
            <w:tcW w:w="4693" w:type="dxa"/>
          </w:tcPr>
          <w:p w14:paraId="5C303D95" w14:textId="77777777" w:rsidR="00A57294" w:rsidRPr="00C9564D" w:rsidRDefault="00A57294" w:rsidP="00D06125">
            <w:pPr>
              <w:spacing w:before="120" w:after="120"/>
              <w:jc w:val="both"/>
              <w:rPr>
                <w:b/>
                <w:bCs/>
                <w:color w:val="000000" w:themeColor="text1"/>
              </w:rPr>
            </w:pPr>
            <w:r w:rsidRPr="00C9564D">
              <w:rPr>
                <w:b/>
                <w:bCs/>
                <w:color w:val="000000" w:themeColor="text1"/>
              </w:rPr>
              <w:t>Central American Forest Convention (1993)</w:t>
            </w:r>
          </w:p>
        </w:tc>
        <w:tc>
          <w:tcPr>
            <w:tcW w:w="8892" w:type="dxa"/>
          </w:tcPr>
          <w:p w14:paraId="41B752C6" w14:textId="1D7583A3" w:rsidR="00A57294" w:rsidRPr="00C9564D" w:rsidRDefault="008E32F7" w:rsidP="00D06125">
            <w:pPr>
              <w:spacing w:before="120" w:after="120"/>
              <w:jc w:val="both"/>
              <w:rPr>
                <w:color w:val="000000" w:themeColor="text1"/>
              </w:rPr>
            </w:pPr>
            <w:r w:rsidRPr="00C9564D">
              <w:rPr>
                <w:color w:val="000000" w:themeColor="text1"/>
              </w:rPr>
              <w:t xml:space="preserve">Several instruments (both political and legal) were approved at a regional level to complement the </w:t>
            </w:r>
            <w:r w:rsidR="0029471C" w:rsidRPr="00C9564D">
              <w:rPr>
                <w:color w:val="000000" w:themeColor="text1"/>
              </w:rPr>
              <w:t>Tropical Forest Action Plan for Central America (</w:t>
            </w:r>
            <w:r w:rsidRPr="00C9564D">
              <w:rPr>
                <w:color w:val="000000" w:themeColor="text1"/>
              </w:rPr>
              <w:t>PAF-CA</w:t>
            </w:r>
            <w:r w:rsidR="0029471C" w:rsidRPr="00C9564D">
              <w:rPr>
                <w:color w:val="000000" w:themeColor="text1"/>
              </w:rPr>
              <w:t>)</w:t>
            </w:r>
            <w:r w:rsidRPr="00C9564D">
              <w:rPr>
                <w:color w:val="000000" w:themeColor="text1"/>
              </w:rPr>
              <w:t xml:space="preserve">.  Of these, the most important and far-reaching is the 1993 Regional Convention for the Management and Conservation of Natural Forest Ecosystems and the Development of Forest Plantations (‘Central American Forest Convention’). </w:t>
            </w:r>
            <w:r w:rsidRPr="00C9564D">
              <w:rPr>
                <w:color w:val="000000" w:themeColor="text1"/>
              </w:rPr>
              <w:fldChar w:fldCharType="begin"/>
            </w:r>
            <w:r w:rsidRPr="00C9564D">
              <w:rPr>
                <w:color w:val="000000" w:themeColor="text1"/>
              </w:rPr>
              <w:instrText xml:space="preserve"> ADDIN ZOTERO_ITEM CSL_CITATION {"citationID":"Vx6p0M8h","properties":{"formattedCitation":"(Tarasofsky 1999)","plainCitation":"(Tarasofsky 1999)","noteIndex":0},"citationItems":[{"id":626,"uris":["http://zotero.org/users/6602900/items/UBR5P6GN"],"uri":["http://zotero.org/users/6602900/items/UBR5P6GN"],"itemData":{"id":626,"type":"book","collection-title":"IUCN Environmental Law Centre","event-place":"Gland, Switzerland and Cambridge, UK and Bonn, Germany","ISBN":"2-8317-0472-3","number-of-pages":"156","publisher":"IUCN - The World Conservation Union","publisher-place":"Gland, Switzerland and Cambridge, UK and Bonn, Germany","title":"Assessing the International Forest Regime","URL":"https://portals.iucn.org/library/sites/library/files/documents/EPLP-037.pdf","author":[{"family":"Tarasofsky","given":"Richard G."}],"issued":{"date-parts":[["1999"]]}}}],"schema":"https://github.com/citation-style-language/schema/raw/master/csl-citation.json"} </w:instrText>
            </w:r>
            <w:r w:rsidRPr="00C9564D">
              <w:rPr>
                <w:color w:val="000000" w:themeColor="text1"/>
              </w:rPr>
              <w:fldChar w:fldCharType="separate"/>
            </w:r>
            <w:r w:rsidR="00026EED" w:rsidRPr="00026EED">
              <w:t>(Tarasofsky 1999)</w:t>
            </w:r>
            <w:r w:rsidRPr="00C9564D">
              <w:rPr>
                <w:color w:val="000000" w:themeColor="text1"/>
              </w:rPr>
              <w:fldChar w:fldCharType="end"/>
            </w:r>
            <w:r w:rsidRPr="00C9564D">
              <w:rPr>
                <w:color w:val="000000" w:themeColor="text1"/>
              </w:rPr>
              <w:t>.</w:t>
            </w:r>
          </w:p>
        </w:tc>
      </w:tr>
      <w:tr w:rsidR="00A57294" w:rsidRPr="00C9564D" w14:paraId="6FB4DDAF" w14:textId="77777777" w:rsidTr="0014522C">
        <w:tc>
          <w:tcPr>
            <w:tcW w:w="4693" w:type="dxa"/>
          </w:tcPr>
          <w:p w14:paraId="659DC3B7" w14:textId="77777777" w:rsidR="00A57294" w:rsidRPr="00C9564D" w:rsidRDefault="00A57294" w:rsidP="00D06125">
            <w:pPr>
              <w:spacing w:before="120" w:after="120"/>
              <w:jc w:val="both"/>
              <w:rPr>
                <w:color w:val="000000" w:themeColor="text1"/>
              </w:rPr>
            </w:pPr>
            <w:r w:rsidRPr="00C9564D">
              <w:rPr>
                <w:color w:val="000000" w:themeColor="text1"/>
              </w:rPr>
              <w:t xml:space="preserve">The </w:t>
            </w:r>
            <w:r w:rsidRPr="00C9564D">
              <w:rPr>
                <w:b/>
                <w:bCs/>
                <w:color w:val="000000" w:themeColor="text1"/>
              </w:rPr>
              <w:t>FOREST EUROPE</w:t>
            </w:r>
            <w:r w:rsidRPr="00C9564D">
              <w:rPr>
                <w:rStyle w:val="FootnoteReference"/>
              </w:rPr>
              <w:footnoteReference w:id="12"/>
            </w:r>
            <w:r w:rsidRPr="00C9564D">
              <w:rPr>
                <w:color w:val="000000" w:themeColor="text1"/>
              </w:rPr>
              <w:t xml:space="preserve"> process (Ministerial Conferences on the Protection of Forests in Europe, MCPFE) (1990)</w:t>
            </w:r>
          </w:p>
        </w:tc>
        <w:tc>
          <w:tcPr>
            <w:tcW w:w="8892" w:type="dxa"/>
          </w:tcPr>
          <w:p w14:paraId="1626F5EA" w14:textId="43DA513D" w:rsidR="00A57294" w:rsidRPr="00C9564D" w:rsidRDefault="00A57294" w:rsidP="00D06125">
            <w:pPr>
              <w:spacing w:before="120" w:after="120"/>
              <w:jc w:val="both"/>
              <w:rPr>
                <w:color w:val="000000" w:themeColor="text1"/>
              </w:rPr>
            </w:pPr>
            <w:r w:rsidRPr="00C9564D">
              <w:rPr>
                <w:color w:val="000000" w:themeColor="text1"/>
              </w:rPr>
              <w:t xml:space="preserve">The first two set of guidelines, “General guidelines for sustainable forest management” and “General guidelines for conservation of biological diversity of forests in Europe” were developed in Helsinki in 1993 (Resolution H1 and H2 respectively). In the first part of the </w:t>
            </w:r>
            <w:r w:rsidRPr="00C9564D">
              <w:rPr>
                <w:color w:val="000000" w:themeColor="text1"/>
              </w:rPr>
              <w:lastRenderedPageBreak/>
              <w:t>Resolution H1 “general guidelines”, principle 9 states that “</w:t>
            </w:r>
            <w:r w:rsidRPr="00C9564D">
              <w:rPr>
                <w:i/>
                <w:color w:val="000000" w:themeColor="text1"/>
              </w:rPr>
              <w:t>Native species and local provenances</w:t>
            </w:r>
            <w:r w:rsidRPr="00C9564D">
              <w:rPr>
                <w:color w:val="000000" w:themeColor="text1"/>
              </w:rPr>
              <w:t xml:space="preserve"> should be preferred where appropriate. The use of species, provenances, varieties or ecotypes outside their natural range should be discouraged where their introduction would endanger important/valuable indigenous ecosystems, flora and fauna. </w:t>
            </w:r>
            <w:r w:rsidRPr="00C9564D">
              <w:rPr>
                <w:i/>
                <w:color w:val="000000" w:themeColor="text1"/>
              </w:rPr>
              <w:t>Introduced species</w:t>
            </w:r>
            <w:r w:rsidRPr="00C9564D">
              <w:rPr>
                <w:color w:val="000000" w:themeColor="text1"/>
              </w:rPr>
              <w:t xml:space="preserve"> may be used when their potential negative impacts have been assessed and evaluated over sufficient time, and where they provide more benefits than do indigenous ones in terms of wood production and other functions. Whenever introduced species are used to replace local ecosystems, sufficient action should be taken at the same time to conserve native flora and fauna”. The “Pan-European Operational Guidelines for Sustainable Forest Management” endorsed at Lisbon Ministerial Conference in 1998, were further elaborated to translating international commitments to the level of forest management practices and planning. They are directly based on Resolutions H1 and H2, and follow the structure of the six pan-European criteria that were identified as the core elements of sustainable forest management. They are divided into/addressing “Forest Management Planning” and “Forest Management Practices”, focusing on basic ecological, economic and social requirements for sustainable forest management within each criterion. The Criterion no. 4 is titled “Maintenance, conservation and appropriate enhancement of biological diversity in forest ecosystems” and at 4.2 (b) states that “for reforestation and afforestation, origins of </w:t>
            </w:r>
            <w:r w:rsidRPr="00C9564D">
              <w:rPr>
                <w:i/>
                <w:color w:val="000000" w:themeColor="text1"/>
              </w:rPr>
              <w:t>native species and local provenances</w:t>
            </w:r>
            <w:r w:rsidRPr="00C9564D">
              <w:rPr>
                <w:color w:val="000000" w:themeColor="text1"/>
              </w:rPr>
              <w:t xml:space="preserve"> that are well adapted to site conditions should be preferred, where appropriate. Only those </w:t>
            </w:r>
            <w:r w:rsidRPr="00C9564D">
              <w:rPr>
                <w:i/>
                <w:color w:val="000000" w:themeColor="text1"/>
              </w:rPr>
              <w:t>introduced species</w:t>
            </w:r>
            <w:r w:rsidRPr="00C9564D">
              <w:rPr>
                <w:color w:val="000000" w:themeColor="text1"/>
              </w:rPr>
              <w:t>, provenances or varieties should be used whose impacts on the ecosystem and on the genetic integrity of native species and local provenances have been evaluated, and if negative impacts can be avoided or minimised”.</w:t>
            </w:r>
          </w:p>
        </w:tc>
      </w:tr>
      <w:tr w:rsidR="00A57294" w:rsidRPr="00C9564D" w14:paraId="7D7E0862" w14:textId="77777777" w:rsidTr="0014522C">
        <w:tc>
          <w:tcPr>
            <w:tcW w:w="4693" w:type="dxa"/>
          </w:tcPr>
          <w:p w14:paraId="08A96DF3" w14:textId="77777777" w:rsidR="00A57294" w:rsidRPr="00C9564D" w:rsidRDefault="00A57294" w:rsidP="00D06125">
            <w:pPr>
              <w:spacing w:before="120" w:after="120"/>
              <w:jc w:val="both"/>
              <w:rPr>
                <w:color w:val="000000" w:themeColor="text1"/>
              </w:rPr>
            </w:pPr>
            <w:r w:rsidRPr="00C9564D">
              <w:rPr>
                <w:color w:val="000000" w:themeColor="text1"/>
              </w:rPr>
              <w:lastRenderedPageBreak/>
              <w:t>FSC, PEFC</w:t>
            </w:r>
          </w:p>
        </w:tc>
        <w:tc>
          <w:tcPr>
            <w:tcW w:w="8892" w:type="dxa"/>
          </w:tcPr>
          <w:p w14:paraId="66EBC1FE" w14:textId="7C6D9EBD" w:rsidR="00A57294" w:rsidRPr="00E205FC" w:rsidRDefault="00A57294" w:rsidP="00D06125">
            <w:pPr>
              <w:spacing w:before="120" w:after="120"/>
              <w:jc w:val="both"/>
            </w:pPr>
            <w:r w:rsidRPr="00E205FC">
              <w:t xml:space="preserve">FSC certification was created in 1993 to “promote environmentally appropriate, socially beneficial, and economically viable management of the world’s forests” </w:t>
            </w:r>
            <w:r w:rsidR="003E4584" w:rsidRPr="00E205FC">
              <w:fldChar w:fldCharType="begin"/>
            </w:r>
            <w:r w:rsidR="003E4584" w:rsidRPr="00E205FC">
              <w:instrText xml:space="preserve"> ADDIN ZOTERO_ITEM CSL_CITATION {"citationID":"lH8Ksm7J","properties":{"formattedCitation":"(Auld et al. 2008)","plainCitation":"(Auld et al. 2008)","noteIndex":0},"citationItems":[{"id":733,"uris":["http://zotero.org/users/6602900/items/XXCEESF9"],"uri":["http://zotero.org/users/6602900/items/XXCEESF9"],"itemData":{"id":733,"type":"article-journal","abstract":"Certification schemes have emerged in recent years to become a significant and innovative venue for standard setting and governance in the environmental realm. This review examines these schemes in the forest sector where, arguably, their development is among the most advanced of the sustainability labeling initiatives. Beginning with the origins, history, and features of schemes, the review synthesizes and assesses what we know about the direct effects and broader consequences of forest certification. Bearing in mind underlying factors affecting producers' decisions to certify, direct effects are examined by describing the uptake of schemes, the improvements to management of audited forests, and the ameliorative potential of certification for landscape-level concerns such as deforestation and forest protection. In assessing broader consequences, we look beyond the instrument itself to detail positive and negative unintended consequences, spillover effects, and longer-term and slow-moving effects that flow from the emergence of the certification innovation.","container-title":"Annual Review of Environment and Resources","DOI":"10.1146/annurev.environ.33.013007.103754","ISSN":"1543-5938","issue":"1","journalAbbreviation":"Annu. Rev. Environ. Resour.","note":"publisher: Annual Reviews","page":"187-211","title":"Certification Schemes and the Impacts on Forests and Forestry","volume":"33","author":[{"family":"Auld","given":"Graeme"},{"family":"Gulbrandsen","given":"Lars H."},{"family":"McDermott","given":"Constance L."}],"issued":{"date-parts":[["2008",10,16]]}}}],"schema":"https://github.com/citation-style-language/schema/raw/master/csl-citation.json"} </w:instrText>
            </w:r>
            <w:r w:rsidR="003E4584" w:rsidRPr="00E205FC">
              <w:fldChar w:fldCharType="separate"/>
            </w:r>
            <w:r w:rsidR="00026EED" w:rsidRPr="00026EED">
              <w:t>(Auld et al. 2008)</w:t>
            </w:r>
            <w:r w:rsidR="003E4584" w:rsidRPr="00E205FC">
              <w:fldChar w:fldCharType="end"/>
            </w:r>
            <w:r w:rsidRPr="00E205FC">
              <w:t xml:space="preserve"> </w:t>
            </w:r>
            <w:r w:rsidR="003E4584" w:rsidRPr="00E205FC">
              <w:lastRenderedPageBreak/>
              <w:t>(</w:t>
            </w:r>
            <w:hyperlink r:id="rId12" w:history="1">
              <w:r w:rsidR="003E4584" w:rsidRPr="00E205FC">
                <w:rPr>
                  <w:rStyle w:val="Hyperlink"/>
                  <w:color w:val="auto"/>
                  <w:u w:val="none"/>
                </w:rPr>
                <w:t>https://ic.fsc.org/index.htm</w:t>
              </w:r>
            </w:hyperlink>
            <w:r w:rsidRPr="00E205FC">
              <w:t>). FSC certification</w:t>
            </w:r>
            <w:r w:rsidRPr="003B2822">
              <w:rPr>
                <w:rStyle w:val="FootnoteReference"/>
              </w:rPr>
              <w:footnoteReference w:id="13"/>
            </w:r>
            <w:r w:rsidRPr="00E205FC">
              <w:t xml:space="preserve"> comprises 10 principles and 70 criteria that cover environmental, social and economic aspects of forest management. The standard uses the CBD definition of alien species and criterion 10.3 (Principle 10 “Implementation of Management Activities”) states that “The Organization</w:t>
            </w:r>
            <w:r w:rsidRPr="003B2822">
              <w:rPr>
                <w:rStyle w:val="FootnoteReference"/>
              </w:rPr>
              <w:footnoteReference w:id="14"/>
            </w:r>
            <w:r w:rsidRPr="00E205FC">
              <w:t xml:space="preserve"> shall only use alien species</w:t>
            </w:r>
            <w:r w:rsidRPr="003B2822">
              <w:rPr>
                <w:rStyle w:val="FootnoteReference"/>
              </w:rPr>
              <w:footnoteReference w:id="15"/>
            </w:r>
            <w:r w:rsidRPr="00E205FC">
              <w:t xml:space="preserve"> when knowledge and/or experience have shown that any invasive impacts can be controlled and effective mitigation measures are in place”. </w:t>
            </w:r>
            <w:r w:rsidR="005958FD" w:rsidRPr="00E205FC">
              <w:t xml:space="preserve">PEFC certification system was founded in 1999 as an international umbrella organization providing independent assessment, endorsement and recognition of national forest certification systems. PEFC Council sets international Sustainable Forest Management </w:t>
            </w:r>
            <w:r w:rsidR="00571671" w:rsidRPr="00E205FC">
              <w:t>Benchmarks</w:t>
            </w:r>
            <w:r w:rsidR="005958FD" w:rsidRPr="00E205FC">
              <w:t xml:space="preserve"> Organization</w:t>
            </w:r>
            <w:r w:rsidR="005958FD" w:rsidRPr="003B2822">
              <w:rPr>
                <w:rStyle w:val="FootnoteReference"/>
              </w:rPr>
              <w:footnoteReference w:id="16"/>
            </w:r>
            <w:r w:rsidR="005958FD" w:rsidRPr="00E205FC">
              <w:t xml:space="preserve">; within the framework provided by these benchmarks (11 Criteria and 48 guidelines), national stakeholders develop their own national standards. </w:t>
            </w:r>
            <w:r w:rsidR="005958FD" w:rsidRPr="003B2822">
              <w:t>PEFC national standards recognise as guidance for avoidance of invasive species CBD Guiding Principles for the Prevention, Introduction, and Mitigation of Impacts of Alien Species that Threaten Ecosystems, Habitats or Species. National standards require that origins of native species that are well-adapted to site conditions shall be preferred for reforestation and afforestation. Only those introduced species, provenances or varieties shall be used whose impacts on the ecosystem and on the genetic integrity of native species and local provenances have been scientifically evaluated, and if negative impacts can be avoided or minimised.</w:t>
            </w:r>
          </w:p>
        </w:tc>
      </w:tr>
    </w:tbl>
    <w:p w14:paraId="65AF9C0A" w14:textId="1D020C4B" w:rsidR="005324A4" w:rsidRPr="00C9564D" w:rsidRDefault="005324A4" w:rsidP="00830EE5">
      <w:pPr>
        <w:suppressAutoHyphens w:val="0"/>
        <w:rPr>
          <w:color w:val="000000" w:themeColor="text1"/>
        </w:rPr>
      </w:pPr>
    </w:p>
    <w:p w14:paraId="7552D607" w14:textId="77777777" w:rsidR="00A57294" w:rsidRPr="00C9564D" w:rsidRDefault="00A57294" w:rsidP="00A57294">
      <w:pPr>
        <w:spacing w:before="120" w:after="120"/>
        <w:jc w:val="both"/>
        <w:rPr>
          <w:color w:val="000000" w:themeColor="text1"/>
        </w:rPr>
      </w:pPr>
    </w:p>
    <w:p w14:paraId="05E9B5EB" w14:textId="77777777" w:rsidR="00A57294" w:rsidRPr="00C9564D" w:rsidRDefault="00A57294" w:rsidP="00A57294">
      <w:pPr>
        <w:spacing w:before="120" w:after="120"/>
        <w:jc w:val="both"/>
        <w:rPr>
          <w:color w:val="000000" w:themeColor="text1"/>
        </w:rPr>
      </w:pPr>
    </w:p>
    <w:p w14:paraId="19E35E66" w14:textId="77777777" w:rsidR="00C37C44" w:rsidRPr="00C9564D" w:rsidRDefault="00C37C44" w:rsidP="00A57294">
      <w:pPr>
        <w:spacing w:before="120" w:after="120"/>
        <w:jc w:val="both"/>
        <w:rPr>
          <w:color w:val="000000" w:themeColor="text1"/>
        </w:rPr>
        <w:sectPr w:rsidR="00C37C44" w:rsidRPr="00C9564D" w:rsidSect="00A85D58">
          <w:pgSz w:w="15840" w:h="12240" w:orient="landscape"/>
          <w:pgMar w:top="1425" w:right="1134" w:bottom="1418" w:left="1134" w:header="709" w:footer="709" w:gutter="0"/>
          <w:lnNumType w:countBy="1" w:restart="continuous"/>
          <w:cols w:space="720"/>
          <w:titlePg/>
          <w:docGrid w:linePitch="600" w:charSpace="32768"/>
        </w:sectPr>
      </w:pPr>
    </w:p>
    <w:p w14:paraId="74C81D40" w14:textId="76048D9F" w:rsidR="00A57294" w:rsidRPr="00C9564D" w:rsidRDefault="00A57294" w:rsidP="00A57294">
      <w:pPr>
        <w:spacing w:before="120" w:after="120"/>
        <w:jc w:val="both"/>
        <w:rPr>
          <w:b/>
          <w:bCs/>
          <w:color w:val="000000" w:themeColor="text1"/>
        </w:rPr>
      </w:pPr>
      <w:r w:rsidRPr="00C9564D">
        <w:rPr>
          <w:b/>
          <w:bCs/>
          <w:color w:val="000000" w:themeColor="text1"/>
        </w:rPr>
        <w:lastRenderedPageBreak/>
        <w:t xml:space="preserve">REFERENCES </w:t>
      </w:r>
      <w:r w:rsidR="00662439" w:rsidRPr="00C9564D">
        <w:rPr>
          <w:b/>
          <w:bCs/>
          <w:color w:val="000000" w:themeColor="text1"/>
        </w:rPr>
        <w:t>(</w:t>
      </w:r>
      <w:r w:rsidR="00662439" w:rsidRPr="00C9564D">
        <w:rPr>
          <w:b/>
          <w:bCs/>
        </w:rPr>
        <w:t>Annex to the G</w:t>
      </w:r>
      <w:r w:rsidR="00BF028C" w:rsidRPr="00C9564D">
        <w:rPr>
          <w:b/>
          <w:bCs/>
        </w:rPr>
        <w:t>G-NNTs</w:t>
      </w:r>
      <w:r w:rsidR="00662439" w:rsidRPr="00C9564D">
        <w:rPr>
          <w:b/>
          <w:bCs/>
        </w:rPr>
        <w:t>)</w:t>
      </w:r>
    </w:p>
    <w:p w14:paraId="319145AE" w14:textId="77777777" w:rsidR="006E1AC8" w:rsidRPr="00C9564D" w:rsidRDefault="006E1AC8" w:rsidP="00644FE8">
      <w:pPr>
        <w:spacing w:before="120" w:after="120"/>
        <w:jc w:val="both"/>
        <w:rPr>
          <w:color w:val="2F5496" w:themeColor="accent1" w:themeShade="BF"/>
          <w:sz w:val="20"/>
          <w:szCs w:val="20"/>
        </w:rPr>
      </w:pPr>
    </w:p>
    <w:p w14:paraId="1F723177" w14:textId="58770016" w:rsidR="00026EED" w:rsidRDefault="00A94389" w:rsidP="00F06F1E">
      <w:pPr>
        <w:pStyle w:val="Bibliography"/>
        <w:jc w:val="both"/>
      </w:pPr>
      <w:r w:rsidRPr="00C9564D">
        <w:fldChar w:fldCharType="begin"/>
      </w:r>
      <w:r w:rsidR="00026EED">
        <w:instrText xml:space="preserve"> ADDIN ZOTERO_BIBL {"uncited":[],"omitted":[],"custom":[]} CSL_BIBLIOGRAPHY </w:instrText>
      </w:r>
      <w:r w:rsidRPr="00C9564D">
        <w:fldChar w:fldCharType="separate"/>
      </w:r>
      <w:r w:rsidR="00026EED">
        <w:t>Asner GP, Martin RE, Knapp DE, Kennedy-Bowdoin T (2010) Effects of Morella faya tree invasion on aboveground carbon storage in Hawaii. Biological Invasions 12:477–494. https://doi.org/10.1007/s10530-009-9452-1</w:t>
      </w:r>
    </w:p>
    <w:p w14:paraId="7AE077F2" w14:textId="56EA490F" w:rsidR="00026EED" w:rsidRDefault="00026EED" w:rsidP="00F06F1E">
      <w:pPr>
        <w:pStyle w:val="Bibliography"/>
        <w:jc w:val="both"/>
      </w:pPr>
      <w:r>
        <w:t>Auld G, Gulbrandsen LH, McDermott CL (2008) Certification Schemes and the Impacts on Forests and Forestry. Annu Rev Environ Resour 33:187–211. https://doi.org/10.1146/annurev.environ.33.013007.103754</w:t>
      </w:r>
    </w:p>
    <w:p w14:paraId="106685B7" w14:textId="77777777" w:rsidR="00026EED" w:rsidRDefault="00026EED" w:rsidP="00F06F1E">
      <w:pPr>
        <w:pStyle w:val="Bibliography"/>
        <w:jc w:val="both"/>
      </w:pPr>
      <w:r>
        <w:t>Bacher S, Blackburn TM, Essl F, Genovesi P, Heikkilä J, Jeschke JM, Jones G, Keller R, Kenis M, Kueffer C, Martinou AF, Nentwig W, Pergl J, Pyšek P, Rabitsch W, Richardson DM, Roy HE, Saul W-C, Scalera R, Vilà M, Wilson JRU, Kumschick S (2018) Socio-economic impact classification of alien taxa (SEICAT). Methods in Ecology and Evolution 9:159–168 . https://doi.org/10.1111/2041-210X.12844</w:t>
      </w:r>
    </w:p>
    <w:p w14:paraId="48246844" w14:textId="03C54A32" w:rsidR="00026EED" w:rsidRDefault="00026EED" w:rsidP="00F06F1E">
      <w:pPr>
        <w:pStyle w:val="Bibliography"/>
        <w:jc w:val="both"/>
      </w:pPr>
      <w:r>
        <w:t>Braithwaite RW, Lonsdale WM, Estbergs JA (1989) Alien vegetation and native biota in tropical Australia: the impact of Mimosa pigra. Biological Conservation 48:189–210. https://doi.org/10.1016/0006-3207(89)90118-3</w:t>
      </w:r>
    </w:p>
    <w:p w14:paraId="37C0C7AE" w14:textId="32976445" w:rsidR="00026EED" w:rsidRDefault="00026EED" w:rsidP="00F06F1E">
      <w:pPr>
        <w:pStyle w:val="Bibliography"/>
        <w:jc w:val="both"/>
      </w:pPr>
      <w:r>
        <w:t>Branco M, Nunes P, Roques A, Fernandes MR, Orazio C, Jactel H (2019) Urban trees facilitate the establishment of non-native forest insects. NB 52:25–46. https://doi.org/10.3897/neobiota.52.36358</w:t>
      </w:r>
    </w:p>
    <w:p w14:paraId="79B922EB" w14:textId="77777777" w:rsidR="00026EED" w:rsidRDefault="00026EED" w:rsidP="00F06F1E">
      <w:pPr>
        <w:pStyle w:val="Bibliography"/>
        <w:jc w:val="both"/>
      </w:pPr>
      <w:r>
        <w:t>Broeck AV, Villar M, Van Bockstaele E, VanSlycken J (2005) Natural hybridization between cultivated poplars and their wild relatives: evidence and consequences for native poplar populations. Annals of Forest Science 62:601–613</w:t>
      </w:r>
    </w:p>
    <w:p w14:paraId="4E7D80DD" w14:textId="77777777" w:rsidR="00026EED" w:rsidRDefault="00026EED" w:rsidP="00F06F1E">
      <w:pPr>
        <w:pStyle w:val="Bibliography"/>
        <w:jc w:val="both"/>
      </w:pPr>
      <w:r>
        <w:t>Brooks ML, D’Antonio CM, Richardson DM, Grace JB, Keeley JE, DiTomaso JM, Hobbs RJ, Pellant M, Pyke D (2004) Effects of Invasive Alien Plants on Fire Regimes. BioScience 54:677–688 . https://doi.org/10.1641/0006-3568(2004)054[0677:EOIAPO]2.0.CO;2</w:t>
      </w:r>
    </w:p>
    <w:p w14:paraId="3FC582EA" w14:textId="0EB636F7" w:rsidR="00026EED" w:rsidRDefault="00026EED" w:rsidP="00F06F1E">
      <w:pPr>
        <w:pStyle w:val="Bibliography"/>
        <w:jc w:val="both"/>
      </w:pPr>
      <w:r>
        <w:t>Burgess TI, Crous CJ, Slippers B, Hantula J, Wingfield MJ (2016) Tree invasions and biosecurity: eco-evolutionary dynamics of hitchhiking fungi. AoB PLANTS 8:. https://doi.org/10.1093/aobpla/plw076</w:t>
      </w:r>
    </w:p>
    <w:p w14:paraId="173C22AD" w14:textId="34A8C649" w:rsidR="00026EED" w:rsidRDefault="00026EED" w:rsidP="00F06F1E">
      <w:pPr>
        <w:pStyle w:val="Bibliography"/>
        <w:jc w:val="both"/>
      </w:pPr>
      <w:r>
        <w:t xml:space="preserve">Burnett K, Kaiser B, Roumasset J (2007) Economic lessons from control efforts for an invasive species: </w:t>
      </w:r>
      <w:r w:rsidRPr="00026EED">
        <w:rPr>
          <w:i/>
          <w:iCs/>
        </w:rPr>
        <w:t>Miconia calvescens</w:t>
      </w:r>
      <w:r>
        <w:t xml:space="preserve"> in Hawaii. Journal of Forest Economics 13:151–167. https://doi.org/10.1016/j.jfe.2007.02.007</w:t>
      </w:r>
    </w:p>
    <w:p w14:paraId="790B0E40" w14:textId="77777777" w:rsidR="00026EED" w:rsidRDefault="00026EED" w:rsidP="00F06F1E">
      <w:pPr>
        <w:pStyle w:val="Bibliography"/>
        <w:jc w:val="both"/>
      </w:pPr>
      <w:r>
        <w:t>Campagnaro T, Brundu G, Sitzia T (2018) Five major invasive alien tree species in European Union forest habitat types of the Alpine and Continental biogeographical regions. Journal for Nature Conservation 43:227–238 . https://doi.org/10.1016/j.jnc.2017.07.007</w:t>
      </w:r>
    </w:p>
    <w:p w14:paraId="382EB16D" w14:textId="64A57407" w:rsidR="00026EED" w:rsidRDefault="00026EED" w:rsidP="00F06F1E">
      <w:pPr>
        <w:pStyle w:val="Bibliography"/>
        <w:jc w:val="both"/>
      </w:pPr>
      <w:r>
        <w:t xml:space="preserve">Castro-Díez P, Valle G, González-Muñoz N, Alonso Á (2014) Can the Life-History Strategy Explain the Success of the Exotic Trees </w:t>
      </w:r>
      <w:r w:rsidRPr="00026EED">
        <w:rPr>
          <w:i/>
          <w:iCs/>
        </w:rPr>
        <w:t>Ailanthus altissima</w:t>
      </w:r>
      <w:r>
        <w:t xml:space="preserve"> and </w:t>
      </w:r>
      <w:r w:rsidRPr="00026EED">
        <w:rPr>
          <w:i/>
          <w:iCs/>
        </w:rPr>
        <w:t>Robinia pseudoacacia</w:t>
      </w:r>
      <w:r>
        <w:t xml:space="preserve"> in Iberian Floodplain Forests? PLOS ONE 9:e100254. https://doi.org/10.1371/journal.pone.0100254</w:t>
      </w:r>
    </w:p>
    <w:p w14:paraId="725965F5" w14:textId="77777777" w:rsidR="00026EED" w:rsidRDefault="00026EED" w:rsidP="00F06F1E">
      <w:pPr>
        <w:pStyle w:val="Bibliography"/>
        <w:jc w:val="both"/>
      </w:pPr>
      <w:r>
        <w:lastRenderedPageBreak/>
        <w:t>Chauhan SS (2003) Desertification Control and Management of Land Degradation in the Thar Desert of India. Environmentalist 23:219–227 . https://doi.org/10.1023/B:ENVR.0000017366.67642.79</w:t>
      </w:r>
    </w:p>
    <w:p w14:paraId="6AA94D28" w14:textId="77777777" w:rsidR="00026EED" w:rsidRDefault="00026EED" w:rsidP="00F06F1E">
      <w:pPr>
        <w:pStyle w:val="Bibliography"/>
        <w:jc w:val="both"/>
      </w:pPr>
      <w:r>
        <w:t>Chmura D (2020) The Spread and Role of the Invasive Alien Tree Quercus rubra (L.) in Novel Forest Ecosystems in Central Europe. Forests 11:586 . https://doi.org/10.3390/f11050586</w:t>
      </w:r>
    </w:p>
    <w:p w14:paraId="7C01D9C2" w14:textId="77777777" w:rsidR="00026EED" w:rsidRDefault="00026EED" w:rsidP="00F06F1E">
      <w:pPr>
        <w:pStyle w:val="Bibliography"/>
        <w:jc w:val="both"/>
      </w:pPr>
      <w:r>
        <w:t xml:space="preserve">Cierjacks A, Kowarik I, Joshi J, Hempel S, Ristow M, von der Lippe M, Weber E (2013) Biological Flora of the British Isles: </w:t>
      </w:r>
      <w:r w:rsidRPr="00026EED">
        <w:rPr>
          <w:i/>
          <w:iCs/>
        </w:rPr>
        <w:t>Robinia pseudoacacia</w:t>
      </w:r>
      <w:r>
        <w:t>. Journal of Ecology 101:1623–1640 . https://doi.org/10.1111/1365-2745.12162</w:t>
      </w:r>
    </w:p>
    <w:p w14:paraId="6E0BECB2" w14:textId="77777777" w:rsidR="00026EED" w:rsidRDefault="00026EED" w:rsidP="00F06F1E">
      <w:pPr>
        <w:pStyle w:val="Bibliography"/>
        <w:jc w:val="both"/>
      </w:pPr>
      <w:r>
        <w:t xml:space="preserve">Costa H, Aranda SC, Lourenço P, Medeiros V, Azevedo EB de, Silva L (2012) Predicting successful replacement of forest invaders by native species using species distribution models: The case of </w:t>
      </w:r>
      <w:r w:rsidRPr="00026EED">
        <w:rPr>
          <w:i/>
          <w:iCs/>
        </w:rPr>
        <w:t xml:space="preserve">Pittosporum undulatum </w:t>
      </w:r>
      <w:r>
        <w:t xml:space="preserve">and </w:t>
      </w:r>
      <w:r w:rsidRPr="00026EED">
        <w:rPr>
          <w:i/>
          <w:iCs/>
        </w:rPr>
        <w:t>Morella faya</w:t>
      </w:r>
      <w:r>
        <w:t xml:space="preserve"> in the Azores. Forest Ecology and Management 279:90–96 . https://doi.org/10.1016/j.foreco.2012.05.022</w:t>
      </w:r>
    </w:p>
    <w:p w14:paraId="5A84675E" w14:textId="35B506A0" w:rsidR="00026EED" w:rsidRDefault="00026EED" w:rsidP="00F06F1E">
      <w:pPr>
        <w:pStyle w:val="Bibliography"/>
        <w:jc w:val="both"/>
      </w:pPr>
      <w:r>
        <w:t xml:space="preserve">Crous CJ, Jacobs SM, Esler KJ (2012) Wood anatomical traits as a measure of plant responses to water availability: invasive </w:t>
      </w:r>
      <w:r w:rsidRPr="00026EED">
        <w:rPr>
          <w:i/>
          <w:iCs/>
        </w:rPr>
        <w:t xml:space="preserve">Acacia mearnsii </w:t>
      </w:r>
      <w:r>
        <w:t>De Wild. compared with native tree species in fynbos riparian ecotones, South Africa. Trees 26:1527–1536. https://doi.org/10.1007/s00468-012-0726-3</w:t>
      </w:r>
    </w:p>
    <w:p w14:paraId="247E60FC" w14:textId="77777777" w:rsidR="00026EED" w:rsidRDefault="00026EED" w:rsidP="00F06F1E">
      <w:pPr>
        <w:pStyle w:val="Bibliography"/>
        <w:jc w:val="both"/>
      </w:pPr>
      <w:r>
        <w:t>Dawson W, Mndolwa AS, Burslem DFRP, Hulme PE (2008) Assessing the risks of plant invasions arising from collections in tropical botanical gardens. Biodiversity and Conservation 17:1979–1995 . https://doi.org/10.1007/s10531-008-9345-0</w:t>
      </w:r>
    </w:p>
    <w:p w14:paraId="1F5B633D" w14:textId="5086D166" w:rsidR="00026EED" w:rsidRDefault="00026EED" w:rsidP="00F06F1E">
      <w:pPr>
        <w:pStyle w:val="Bibliography"/>
        <w:jc w:val="both"/>
      </w:pPr>
      <w:r>
        <w:t>Díez J (2005) Invasion biology of Australian ectomycorrhizal fungi introduced with eucalypt plantations into the Iberian Peninsula. Biological Invasions 7:3–15. https://doi.org/10.1007/s10530-004-9624-y</w:t>
      </w:r>
    </w:p>
    <w:p w14:paraId="0FFADDC6" w14:textId="77777777" w:rsidR="00026EED" w:rsidRDefault="00026EED" w:rsidP="00F06F1E">
      <w:pPr>
        <w:pStyle w:val="Bibliography"/>
        <w:jc w:val="both"/>
      </w:pPr>
      <w:r>
        <w:t xml:space="preserve">Dyderski MK, Chmura D, Dylewski Ł, Horodecki P, Jagodziński AM, Pietras M, Robakowski P, Woziwoda B (2020) Biological Flora of the British Isles: </w:t>
      </w:r>
      <w:r w:rsidRPr="00026EED">
        <w:rPr>
          <w:i/>
          <w:iCs/>
        </w:rPr>
        <w:t>Quercus rubra</w:t>
      </w:r>
      <w:r>
        <w:t>. Journal of Ecology 108:1199–1225 . https://doi.org/10.1111/1365-2745.13375</w:t>
      </w:r>
    </w:p>
    <w:p w14:paraId="261ABAC4" w14:textId="77777777" w:rsidR="00026EED" w:rsidRDefault="00026EED" w:rsidP="00F06F1E">
      <w:pPr>
        <w:pStyle w:val="Bibliography"/>
        <w:jc w:val="both"/>
      </w:pPr>
      <w:r>
        <w:t>Dye P, Jarmain C (2004) Water use by black wattle (</w:t>
      </w:r>
      <w:r w:rsidRPr="00026EED">
        <w:rPr>
          <w:i/>
          <w:iCs/>
        </w:rPr>
        <w:t>Acacia mearnsii</w:t>
      </w:r>
      <w:r>
        <w:t>): implications for the link between removal of invading trees and catchment streamflow response: working for water. South African Journal of Science 100:40–44</w:t>
      </w:r>
    </w:p>
    <w:p w14:paraId="6A7BAFC4" w14:textId="519BA3C8" w:rsidR="00026EED" w:rsidRPr="005A3C23" w:rsidRDefault="00026EED" w:rsidP="00F06F1E">
      <w:pPr>
        <w:pStyle w:val="Bibliography"/>
        <w:jc w:val="both"/>
        <w:rPr>
          <w:lang w:val="en-US"/>
        </w:rPr>
      </w:pPr>
      <w:r>
        <w:t xml:space="preserve">EPPO (2020) PM 9/29 (1) </w:t>
      </w:r>
      <w:r w:rsidRPr="00026EED">
        <w:rPr>
          <w:i/>
          <w:iCs/>
        </w:rPr>
        <w:t>Ailanthus altissima</w:t>
      </w:r>
      <w:r>
        <w:t xml:space="preserve">. </w:t>
      </w:r>
      <w:r w:rsidRPr="005A3C23">
        <w:rPr>
          <w:lang w:val="en-US"/>
        </w:rPr>
        <w:t>EPPO Bulletin 50:148–155. https://doi.org/10.1111/epp.12621</w:t>
      </w:r>
    </w:p>
    <w:p w14:paraId="2612E5BF" w14:textId="03D40280" w:rsidR="00026EED" w:rsidRDefault="00026EED" w:rsidP="00F06F1E">
      <w:pPr>
        <w:pStyle w:val="Bibliography"/>
        <w:jc w:val="both"/>
      </w:pPr>
      <w:r>
        <w:t>F. Allen Dray, Bradley C. Bennett, Ted D. Center (2006) Invasion History of Melaleuca quinquenervia (Cav.) S.T. Blake in Florida. Castanea 71:210–225. https://doi.org/10.2179/05-27.1</w:t>
      </w:r>
    </w:p>
    <w:p w14:paraId="3E04874F" w14:textId="77777777" w:rsidR="00026EED" w:rsidRDefault="00026EED" w:rsidP="00F06F1E">
      <w:pPr>
        <w:pStyle w:val="Bibliography"/>
        <w:jc w:val="both"/>
      </w:pPr>
      <w:r>
        <w:t>FAO (2010) Global Forest Resources Assessment 2010 - Main Report. FAO, Rome</w:t>
      </w:r>
    </w:p>
    <w:p w14:paraId="4EC7C102" w14:textId="77777777" w:rsidR="00026EED" w:rsidRDefault="00026EED" w:rsidP="00F06F1E">
      <w:pPr>
        <w:pStyle w:val="Bibliography"/>
        <w:jc w:val="both"/>
      </w:pPr>
      <w:r>
        <w:t>FAO (2016) Global Forest Resources Assessment 2015 - Second Edition. FAO, Rome</w:t>
      </w:r>
    </w:p>
    <w:p w14:paraId="6044455D" w14:textId="77777777" w:rsidR="00026EED" w:rsidRDefault="00026EED" w:rsidP="00F06F1E">
      <w:pPr>
        <w:pStyle w:val="Bibliography"/>
        <w:jc w:val="both"/>
      </w:pPr>
      <w:r>
        <w:lastRenderedPageBreak/>
        <w:t>FAO (2018) Global Forest Resources Assessment - Terms and Definitions - FRA 2020. FAO, Rome</w:t>
      </w:r>
    </w:p>
    <w:p w14:paraId="3625E03F" w14:textId="77777777" w:rsidR="00026EED" w:rsidRDefault="00026EED" w:rsidP="00F06F1E">
      <w:pPr>
        <w:pStyle w:val="Bibliography"/>
        <w:jc w:val="both"/>
      </w:pPr>
      <w:r>
        <w:t>FAO (2020) Global Forest Resources Assessment 2020. FAO, Rome</w:t>
      </w:r>
    </w:p>
    <w:p w14:paraId="66189418" w14:textId="5E05310C" w:rsidR="00026EED" w:rsidRDefault="00026EED" w:rsidP="00F06F1E">
      <w:pPr>
        <w:pStyle w:val="Bibliography"/>
        <w:jc w:val="both"/>
      </w:pPr>
      <w:r>
        <w:t>Fazlioglu F, Chen L (2020) Introduced non-native mangroves express better growth performance than co-occurring native mangroves. Scientific Reports 10:3854. https://doi.org/10.1038/s41598-020-60454-z</w:t>
      </w:r>
    </w:p>
    <w:p w14:paraId="57F65A4C" w14:textId="77777777" w:rsidR="00026EED" w:rsidRDefault="00026EED" w:rsidP="00F06F1E">
      <w:pPr>
        <w:pStyle w:val="Bibliography"/>
        <w:jc w:val="both"/>
      </w:pPr>
      <w:r>
        <w:t>Felton A, Boberg J, Björkman C, Widenfalk O (2013) Identifying and managing the ecological risks of using introduced tree species in Sweden’s production forestry. Forest Ecology and Management 307:165–177 . https://doi.org/10.1016/j.foreco.2013.06.059</w:t>
      </w:r>
    </w:p>
    <w:p w14:paraId="20F2FFEF" w14:textId="77777777" w:rsidR="00026EED" w:rsidRDefault="00026EED" w:rsidP="00F06F1E">
      <w:pPr>
        <w:pStyle w:val="Bibliography"/>
        <w:jc w:val="both"/>
      </w:pPr>
      <w:r>
        <w:t>Fernandez RD, Ceballos SJ, Aragón R, Malizia A, Montti L, Whitworth-Hulse JI, Castro-Díez P, Grau HR (2020) A Global Review of Ligustrum Lucidum (OLEACEAE) Invasion. The Botanical Review. https://doi.org/10.1007/s12229-020-09228-w</w:t>
      </w:r>
    </w:p>
    <w:p w14:paraId="25514400" w14:textId="77777777" w:rsidR="00026EED" w:rsidRDefault="00026EED" w:rsidP="00F06F1E">
      <w:pPr>
        <w:pStyle w:val="Bibliography"/>
        <w:jc w:val="both"/>
      </w:pPr>
      <w:r>
        <w:t>Friedman JM, Auble GT, Shafroth PB, Scott ML, Merigliano MF, Freehling MD, Griffin ER (2005) Dominance of non-native riparian trees in western USA. Biological Invasions 7:747–751 . https://doi.org/10.1007/s10530-004-5849-z</w:t>
      </w:r>
    </w:p>
    <w:p w14:paraId="39AA751D" w14:textId="77777777" w:rsidR="00026EED" w:rsidRDefault="00026EED" w:rsidP="00F06F1E">
      <w:pPr>
        <w:pStyle w:val="Bibliography"/>
        <w:jc w:val="both"/>
      </w:pPr>
      <w:r>
        <w:t>González-Muñoz N, Castro-Díez P, Parker IM (2013) Differences in nitrogen use strategies between native and exotic tree species: predicting impacts on invaded ecosystems. Plant and Soil 363:319–329 . https://doi.org/10.1007/s11104-012-1329-x</w:t>
      </w:r>
    </w:p>
    <w:p w14:paraId="5B5BAD74" w14:textId="77777777" w:rsidR="00026EED" w:rsidRDefault="00026EED" w:rsidP="00F06F1E">
      <w:pPr>
        <w:pStyle w:val="Bibliography"/>
        <w:jc w:val="both"/>
      </w:pPr>
      <w:r>
        <w:t xml:space="preserve">Grünewald H, Böhm C, Quinkenstein A, Grundmann P, Eberts J, von Wühlisch G (2009) </w:t>
      </w:r>
      <w:r w:rsidRPr="00026EED">
        <w:rPr>
          <w:i/>
          <w:iCs/>
        </w:rPr>
        <w:t>Robinia pseudoacacia</w:t>
      </w:r>
      <w:r>
        <w:t xml:space="preserve"> L.: A Lesser Known Tree Species for Biomass Production. BioEnergy Research 2:123–133 . https://doi.org/10.1007/s12155-009-9038-x</w:t>
      </w:r>
    </w:p>
    <w:p w14:paraId="671A25C3" w14:textId="77777777" w:rsidR="00026EED" w:rsidRDefault="00026EED" w:rsidP="00F06F1E">
      <w:pPr>
        <w:pStyle w:val="Bibliography"/>
        <w:jc w:val="both"/>
      </w:pPr>
      <w:r>
        <w:t>Häggman H, Raybould A, Borem A, Fox T, Handley L, Hertzberg M, Lu M-Z, Macdonald P, Oguchi T, Pasquali G, Pearson L, Peter G, Quemada H, Séguin A, Tattersall K, Ulian E, Walter C, McLean M (2013) Genetically engineered trees for plantation forests: key considerations for environmental risk assessment. Plant Biotechnology Journal 11:785–798 . https://doi.org/10.1111/pbi.12100</w:t>
      </w:r>
    </w:p>
    <w:p w14:paraId="712795E2" w14:textId="77777777" w:rsidR="00026EED" w:rsidRDefault="00026EED" w:rsidP="00F06F1E">
      <w:pPr>
        <w:pStyle w:val="Bibliography"/>
        <w:jc w:val="both"/>
      </w:pPr>
      <w:r>
        <w:t>Hawkins CL, Bacher S, Essl F, Hulme PE, Jeschke JM, Kühn I, Kumschick S, Nentwig W, Pergl J, Pyšek P, Rabitsch W, Richardson DM, Vilà M, Wilson JRU, Genovesi P, Blackburn TM (2015) Framework and guidelines for implementing the proposed IUCN Environmental Impact Classification for Alien Taxa (EICAT). Diversity and Distributions 21:1360–1363 . https://doi.org/10.1111/ddi.12379</w:t>
      </w:r>
    </w:p>
    <w:p w14:paraId="16ADFC76" w14:textId="715BA2EE" w:rsidR="00026EED" w:rsidRDefault="00026EED" w:rsidP="00F06F1E">
      <w:pPr>
        <w:pStyle w:val="Bibliography"/>
        <w:jc w:val="both"/>
      </w:pPr>
      <w:r>
        <w:t>Holl KD, Brancalion PHS (2020) Tree planting is not a simple solution. Science 368:580. https://doi.org/10.1126/science.aba8232</w:t>
      </w:r>
    </w:p>
    <w:p w14:paraId="2BBAEA00" w14:textId="77777777" w:rsidR="00026EED" w:rsidRDefault="00026EED" w:rsidP="00F06F1E">
      <w:pPr>
        <w:pStyle w:val="Bibliography"/>
        <w:jc w:val="both"/>
      </w:pPr>
      <w:r>
        <w:t>Jäger H, Tye A, Kowarik I (2007) Tree invasion in naturally treeless environments: Impacts of quinine (Cinchona pubescens) trees on native vegetation in Galápagos. Biological Conservation 140:297–307 . https://doi.org/10.1016/j.biocon.2007.08.014</w:t>
      </w:r>
    </w:p>
    <w:p w14:paraId="3CAFBF24" w14:textId="77777777" w:rsidR="00026EED" w:rsidRDefault="00026EED" w:rsidP="00F06F1E">
      <w:pPr>
        <w:pStyle w:val="Bibliography"/>
        <w:jc w:val="both"/>
      </w:pPr>
      <w:r>
        <w:lastRenderedPageBreak/>
        <w:t>Jens T. Stevens, Brian Beckage (2010) Fire Effects on Demography of the Invasive Shrub Brazilian Pepper (</w:t>
      </w:r>
      <w:r w:rsidRPr="00026EED">
        <w:rPr>
          <w:i/>
          <w:iCs/>
        </w:rPr>
        <w:t>Schinus terebinthifolius</w:t>
      </w:r>
      <w:r>
        <w:t>) in Florida Pine Savannas. Natural Areas Journal 30:53–63 . https://doi.org/10.3375/043.030.0106</w:t>
      </w:r>
    </w:p>
    <w:p w14:paraId="3D44AA4F" w14:textId="35DA9E23" w:rsidR="00026EED" w:rsidRDefault="00026EED" w:rsidP="00F06F1E">
      <w:pPr>
        <w:pStyle w:val="Bibliography"/>
        <w:jc w:val="both"/>
      </w:pPr>
      <w:r>
        <w:t>K. Rédei, I. Veperdi (2009) The role of black locust (</w:t>
      </w:r>
      <w:r w:rsidRPr="00026EED">
        <w:rPr>
          <w:i/>
          <w:iCs/>
        </w:rPr>
        <w:t>Robinia pseudoacacia</w:t>
      </w:r>
      <w:r>
        <w:t xml:space="preserve"> L.) in establishment of short-rotation energy plantations in Hungary. Int j hortic sci 15:. https://doi.org/10.31421/IJHS/15/3/832</w:t>
      </w:r>
    </w:p>
    <w:p w14:paraId="0E467790" w14:textId="59410BBA" w:rsidR="00026EED" w:rsidRDefault="00026EED" w:rsidP="00F06F1E">
      <w:pPr>
        <w:pStyle w:val="Bibliography"/>
        <w:jc w:val="both"/>
      </w:pPr>
      <w:r>
        <w:t xml:space="preserve">Kaonga ML (2012) Fractal analysis of canopy architectures of </w:t>
      </w:r>
      <w:r w:rsidRPr="00026EED">
        <w:rPr>
          <w:i/>
          <w:iCs/>
        </w:rPr>
        <w:t>Acacia angustissima</w:t>
      </w:r>
      <w:r>
        <w:t xml:space="preserve">, </w:t>
      </w:r>
      <w:r w:rsidRPr="00026EED">
        <w:rPr>
          <w:i/>
          <w:iCs/>
        </w:rPr>
        <w:t>Gliricidia sepium</w:t>
      </w:r>
      <w:r>
        <w:t xml:space="preserve">, and </w:t>
      </w:r>
      <w:r w:rsidRPr="00026EED">
        <w:rPr>
          <w:i/>
          <w:iCs/>
        </w:rPr>
        <w:t xml:space="preserve">Leucaena collinsii </w:t>
      </w:r>
      <w:r>
        <w:t>for estimation of aboveground biomass in a short rotation forest in eastern Zambia. Journal of Forestry Research 23:1–12. https://doi.org/10.1007/s11676-012-0227-7</w:t>
      </w:r>
    </w:p>
    <w:p w14:paraId="40658124" w14:textId="77777777" w:rsidR="00026EED" w:rsidRDefault="00026EED" w:rsidP="00F06F1E">
      <w:pPr>
        <w:pStyle w:val="Bibliography"/>
        <w:jc w:val="both"/>
      </w:pPr>
      <w:r>
        <w:t>Kaplan H, van Niekerk A, Le Roux JJ, Richardson DM, Wilson JRU (2014) Incorporating risk mapping at multiple spatial scales into eradication management plans. Biological Invasions 16:691–703 . https://doi.org/10.1007/s10530-013-0611-z</w:t>
      </w:r>
    </w:p>
    <w:p w14:paraId="111813E7" w14:textId="77777777" w:rsidR="00026EED" w:rsidRDefault="00026EED" w:rsidP="00F06F1E">
      <w:pPr>
        <w:pStyle w:val="Bibliography"/>
        <w:jc w:val="both"/>
      </w:pPr>
      <w:r>
        <w:t>Klonner G, Dullinger I, Wessely J, Bossdorf O, Carboni M, Dawson W, Essl F, Gattringer A, Haeuser E, van Kleunen M, Kreft H, Moser D, Pergl J, Pyšek P, Thuiller W, Weigelt P, Winter M, Dullinger S (2017) Will climate change increase hybridization risk between potential plant invaders and their congeners in Europe? Diversity and Distributions 23:934–943 . https://doi.org/10.1111/ddi.12578</w:t>
      </w:r>
    </w:p>
    <w:p w14:paraId="63C045E1" w14:textId="77777777" w:rsidR="00026EED" w:rsidRDefault="00026EED" w:rsidP="00F06F1E">
      <w:pPr>
        <w:pStyle w:val="Bibliography"/>
        <w:jc w:val="both"/>
      </w:pPr>
      <w:r>
        <w:t>Knüsel S, Conedera M, Rigling A, Fonti P, Wunder J (2015) A tree-ring perspective on the invasion of Ailanthus altissima in protection forests. Forest Ecology and Management 354:334–343 . https://doi.org/10.1016/j.foreco.2015.05.010</w:t>
      </w:r>
    </w:p>
    <w:p w14:paraId="6245B515" w14:textId="77777777" w:rsidR="00026EED" w:rsidRDefault="00026EED" w:rsidP="00F06F1E">
      <w:pPr>
        <w:pStyle w:val="Bibliography"/>
        <w:jc w:val="both"/>
      </w:pPr>
      <w:r>
        <w:t>Konijnendijk CC, Ricard RM, Kenney A, Randrup TB (2006) Defining urban forestry – A comparative perspective of North America and Europe. Urban Forestry &amp; Urban Greening 4:93–103 . https://doi.org/10.1016/j.ufug.2005.11.003</w:t>
      </w:r>
    </w:p>
    <w:p w14:paraId="2740D97F" w14:textId="77777777" w:rsidR="00026EED" w:rsidRDefault="00026EED" w:rsidP="00F06F1E">
      <w:pPr>
        <w:pStyle w:val="Bibliography"/>
        <w:jc w:val="both"/>
      </w:pPr>
      <w:r>
        <w:t>Kull CA, Shackleton CM, Cunningham PJ, Ducatillon C, Dufour-Dror J-M, Esler KJ, Friday JB, Gouveia AC, Griffin AR, Marchante E, Midgley SJ, Pauchard A, Rangan H, Richardson DM, Rinaudo T, Tassin J, Urgenson LS, von Maltitz GP, Zenni RD, Zylstra MJ (2011) Adoption, use and perception of Australian acacias around the world. Diversity and Distributions 17:822–836 . https://doi.org/10.1111/j.1472-4642.2011.00783.x</w:t>
      </w:r>
    </w:p>
    <w:p w14:paraId="7DE4A211" w14:textId="77777777" w:rsidR="00026EED" w:rsidRDefault="00026EED" w:rsidP="00F06F1E">
      <w:pPr>
        <w:pStyle w:val="Bibliography"/>
        <w:jc w:val="both"/>
      </w:pPr>
      <w:r>
        <w:t>Lonsdale WM, Miller IL (1993) Fire as a Management Tool for a Tropical Woody Weed: Mimosa pigra in Northern Australia. Journal of Environmental Management 39:77–87 . https://doi.org/10.1006/jema.1993.1055</w:t>
      </w:r>
    </w:p>
    <w:p w14:paraId="472A6A93" w14:textId="77777777" w:rsidR="00026EED" w:rsidRDefault="00026EED" w:rsidP="00F06F1E">
      <w:pPr>
        <w:pStyle w:val="Bibliography"/>
        <w:jc w:val="both"/>
      </w:pPr>
      <w:r>
        <w:t xml:space="preserve">Lu J, Wang H, Qin S, Cao L, Pu R, Li G, Sun J (2020) Estimation of aboveground biomass of </w:t>
      </w:r>
      <w:r w:rsidRPr="00026EED">
        <w:rPr>
          <w:i/>
          <w:iCs/>
        </w:rPr>
        <w:t>Robinia pseudoacacia</w:t>
      </w:r>
      <w:r>
        <w:t xml:space="preserve"> forest in the Yellow River Delta based on UAV and Backpack LiDAR point clouds. International Journal of Applied Earth Observation and Geoinformation 86:102014 . https://doi.org/10.1016/j.jag.2019.102014</w:t>
      </w:r>
    </w:p>
    <w:p w14:paraId="414761BE" w14:textId="77777777" w:rsidR="00026EED" w:rsidRDefault="00026EED" w:rsidP="00F06F1E">
      <w:pPr>
        <w:pStyle w:val="Bibliography"/>
        <w:jc w:val="both"/>
      </w:pPr>
      <w:r>
        <w:t>Mansfield S, McNeill MR, Aalders LT, Bell NL, Kean JM, Barratt BIP, Boyd-Wilson K, Teulon DAJ (2019) The value of sentinel plants for risk assessment and surveillance to support biosecurity. NB 48:1–24 . https://doi.org/10.3897/neobiota.48.34205</w:t>
      </w:r>
    </w:p>
    <w:p w14:paraId="6A7D95C8" w14:textId="580B6933" w:rsidR="00026EED" w:rsidRDefault="00026EED" w:rsidP="00F06F1E">
      <w:pPr>
        <w:pStyle w:val="Bibliography"/>
        <w:jc w:val="both"/>
      </w:pPr>
      <w:r>
        <w:lastRenderedPageBreak/>
        <w:t>Marchante E, Kjøller A, Struwe S, Freitas H (2008) Short- and long-term impacts of Acacia longifolia invasion on the belowground processes of a Mediterranean coastal dune ecosystem. Applied Soil Ecology 40:210–217. https://doi.org/10.1016/j.apsoil.2008.04.004</w:t>
      </w:r>
    </w:p>
    <w:p w14:paraId="6EE7F8BD" w14:textId="77777777" w:rsidR="00026EED" w:rsidRDefault="00026EED" w:rsidP="00F06F1E">
      <w:pPr>
        <w:pStyle w:val="Bibliography"/>
        <w:jc w:val="both"/>
      </w:pPr>
      <w:r>
        <w:t>Marchante H, Freitas H, Hoffmann JH (2011) The potential role of seed banks in the recovery of dune ecosystems after removal of invasive plant species. Applied Vegetation Science 14:107–119 . https://doi.org/10.1111/j.1654-109X.2010.01099.x</w:t>
      </w:r>
    </w:p>
    <w:p w14:paraId="543E57C1" w14:textId="77777777" w:rsidR="00026EED" w:rsidRDefault="00026EED" w:rsidP="00F06F1E">
      <w:pPr>
        <w:pStyle w:val="Bibliography"/>
        <w:jc w:val="both"/>
      </w:pPr>
      <w:r>
        <w:t xml:space="preserve">Marchante H, Marchante E, Freitas H (2003) Invasion of the Portuguese dune ecosystems by the exotic species </w:t>
      </w:r>
      <w:r w:rsidRPr="00026EED">
        <w:rPr>
          <w:i/>
          <w:iCs/>
        </w:rPr>
        <w:t>Acacia longifolia</w:t>
      </w:r>
      <w:r>
        <w:t xml:space="preserve"> (Andrews) Willd.: effects at the community level. Plant invasions: ecological threats and management solutions 75–85</w:t>
      </w:r>
    </w:p>
    <w:p w14:paraId="76B972EF" w14:textId="77777777" w:rsidR="00026EED" w:rsidRDefault="00026EED" w:rsidP="00F06F1E">
      <w:pPr>
        <w:pStyle w:val="Bibliography"/>
        <w:jc w:val="both"/>
      </w:pPr>
      <w:r>
        <w:t xml:space="preserve">Medina-Villar S, Castro-Díez P, Alonso A, Cabra-Rivas I, Parker IM, Pérez-Corona E (2015) Do the invasive trees, </w:t>
      </w:r>
      <w:r w:rsidRPr="00026EED">
        <w:rPr>
          <w:i/>
          <w:iCs/>
        </w:rPr>
        <w:t>Ailanthus altissima</w:t>
      </w:r>
      <w:r>
        <w:t xml:space="preserve"> and </w:t>
      </w:r>
      <w:r w:rsidRPr="00026EED">
        <w:rPr>
          <w:i/>
          <w:iCs/>
        </w:rPr>
        <w:t>Robinia pseudoacacia</w:t>
      </w:r>
      <w:r>
        <w:t>, alter litterfall dynamics and soil properties of riparian ecosystems in Central Spain? Plant and Soil 396:311–324 . https://doi.org/10.1007/s11104-015-2592-4</w:t>
      </w:r>
    </w:p>
    <w:p w14:paraId="437B2346" w14:textId="77777777" w:rsidR="00026EED" w:rsidRDefault="00026EED" w:rsidP="00F06F1E">
      <w:pPr>
        <w:pStyle w:val="Bibliography"/>
        <w:jc w:val="both"/>
      </w:pPr>
      <w:r>
        <w:t xml:space="preserve">Meyer J-Y (1998) Observations on the Reproductive Biology of </w:t>
      </w:r>
      <w:r w:rsidRPr="00026EED">
        <w:rPr>
          <w:i/>
          <w:iCs/>
        </w:rPr>
        <w:t>Miconia calvescens</w:t>
      </w:r>
      <w:r>
        <w:t xml:space="preserve"> DC (Melastomataceae), an Alien Invasive Tree on the Island of Tahiti (South Pacific Ocean). Biotropica 30:609–624</w:t>
      </w:r>
    </w:p>
    <w:p w14:paraId="6605165C" w14:textId="77777777" w:rsidR="00026EED" w:rsidRDefault="00026EED" w:rsidP="00F06F1E">
      <w:pPr>
        <w:pStyle w:val="Bibliography"/>
        <w:jc w:val="both"/>
      </w:pPr>
      <w:r>
        <w:t>Myczko Ł, Dylewski Ł, Chrzanowski A, Sparks TH (2017) Acorns of invasive Northern Red Oak (</w:t>
      </w:r>
      <w:r w:rsidRPr="00026EED">
        <w:rPr>
          <w:i/>
          <w:iCs/>
        </w:rPr>
        <w:t>Quercus rubra</w:t>
      </w:r>
      <w:r>
        <w:t>) in Europe are larval hosts for moths and beetles. Biological Invasions 19:2419–2425 . https://doi.org/10.1007/s10530-017-1452-y</w:t>
      </w:r>
    </w:p>
    <w:p w14:paraId="6C37B0C5" w14:textId="77777777" w:rsidR="00026EED" w:rsidRDefault="00026EED" w:rsidP="00F06F1E">
      <w:pPr>
        <w:pStyle w:val="Bibliography"/>
        <w:jc w:val="both"/>
      </w:pPr>
      <w:r>
        <w:t>Nicolescu V-N, Hernea C, Bakti B, Keserű Z, Antal B, Rédei K (2018) Black locust (</w:t>
      </w:r>
      <w:r w:rsidRPr="00026EED">
        <w:rPr>
          <w:i/>
          <w:iCs/>
        </w:rPr>
        <w:t>Robinia pseudoacacia</w:t>
      </w:r>
      <w:r>
        <w:t xml:space="preserve"> L.) as a multi-purpose tree species in Hungary and Romania: a review. Journal of Forestry Research 29:1449–1463 . https://doi.org/10.1007/s11676-018-0626-5</w:t>
      </w:r>
    </w:p>
    <w:p w14:paraId="2F855E3E" w14:textId="77777777" w:rsidR="00026EED" w:rsidRDefault="00026EED" w:rsidP="00F06F1E">
      <w:pPr>
        <w:pStyle w:val="Bibliography"/>
        <w:jc w:val="both"/>
      </w:pPr>
      <w:r>
        <w:t xml:space="preserve">Pasta S, Sala G, La Mantia T, Bondì C, Tinner W (2020) The past distribution of </w:t>
      </w:r>
      <w:r w:rsidRPr="00026EED">
        <w:rPr>
          <w:i/>
          <w:iCs/>
        </w:rPr>
        <w:t xml:space="preserve">Abies nebrodensis </w:t>
      </w:r>
      <w:r>
        <w:t>(Lojac.) Mattei: results of a multidisciplinary study. Vegetation History and Archaeobotany 29:357–371 . https://doi.org/10.1007/s00334-019-00747-0</w:t>
      </w:r>
    </w:p>
    <w:p w14:paraId="2A7D40EC" w14:textId="732C1A49" w:rsidR="00026EED" w:rsidRDefault="00026EED" w:rsidP="00F06F1E">
      <w:pPr>
        <w:pStyle w:val="Bibliography"/>
        <w:jc w:val="both"/>
      </w:pPr>
      <w:r>
        <w:t>Pile LS, Wang GG, Knapp BO, Walker JL, Stambaugh MC (2017a) Chinese tallow (</w:t>
      </w:r>
      <w:r w:rsidRPr="00026EED">
        <w:rPr>
          <w:i/>
          <w:iCs/>
        </w:rPr>
        <w:t>Triadica sebifera</w:t>
      </w:r>
      <w:r>
        <w:t>) invasion in maritime forests: The role of anthropogenic disturbance and its management implication. Forest Ecology and Management 398:10–24. https://doi.org/10.1016/j.foreco.2017.05.006</w:t>
      </w:r>
    </w:p>
    <w:p w14:paraId="223073C1" w14:textId="77777777" w:rsidR="00026EED" w:rsidRDefault="00026EED" w:rsidP="00F06F1E">
      <w:pPr>
        <w:pStyle w:val="Bibliography"/>
        <w:jc w:val="both"/>
      </w:pPr>
      <w:r>
        <w:t>Pile LS, Wang GG, Stovall JP, Siemann E, Wheeler GS, Gabler CA (2017b) Mechanisms of Chinese tallow (</w:t>
      </w:r>
      <w:r w:rsidRPr="00026EED">
        <w:rPr>
          <w:i/>
          <w:iCs/>
        </w:rPr>
        <w:t>Triadica sebifera</w:t>
      </w:r>
      <w:r>
        <w:t>) invasion and their management implications – A review. Forest Ecology and Management 404:1–13 . https://doi.org/10.1016/j.foreco.2017.08.023</w:t>
      </w:r>
    </w:p>
    <w:p w14:paraId="37D57AAC" w14:textId="77777777" w:rsidR="00026EED" w:rsidRDefault="00026EED" w:rsidP="00F06F1E">
      <w:pPr>
        <w:pStyle w:val="Bibliography"/>
        <w:jc w:val="both"/>
      </w:pPr>
      <w:r>
        <w:t>Porazinska DL, Pratt PD, Glblin-Davis RM (2007) Consequences of Melaleuca quinquenervia Invasion on Soil Nematodes in the Florida Everglades. J Nematol 39:305–312</w:t>
      </w:r>
    </w:p>
    <w:p w14:paraId="13CFDDDF" w14:textId="77777777" w:rsidR="00026EED" w:rsidRDefault="00026EED" w:rsidP="00F06F1E">
      <w:pPr>
        <w:pStyle w:val="Bibliography"/>
        <w:jc w:val="both"/>
      </w:pPr>
      <w:r>
        <w:t>Pyšek P, Prach K (2003) Research into Plant Invasions in a Crossroads Region: History and Focus. Biological Invasions 5:337–348 . https://doi.org/10.1023/B:BINV.0000005572.47560.1c</w:t>
      </w:r>
    </w:p>
    <w:p w14:paraId="287F6F22" w14:textId="77777777" w:rsidR="00026EED" w:rsidRDefault="00026EED" w:rsidP="00F06F1E">
      <w:pPr>
        <w:pStyle w:val="Bibliography"/>
        <w:jc w:val="both"/>
      </w:pPr>
      <w:r>
        <w:lastRenderedPageBreak/>
        <w:t>Pyšek P, Richardson DM, Rejmánek M, Webster GL, Williamson M, Kirschner J (2004) Alien plants in checklists and floras: towards better communication between taxonomists and ecologists. TAXON 53:131–143 . https://doi.org/10.2307/4135498</w:t>
      </w:r>
    </w:p>
    <w:p w14:paraId="3BD72AE4" w14:textId="307DCE93" w:rsidR="00026EED" w:rsidRDefault="00026EED" w:rsidP="00F06F1E">
      <w:pPr>
        <w:pStyle w:val="Bibliography"/>
        <w:jc w:val="both"/>
      </w:pPr>
      <w:r>
        <w:t xml:space="preserve">Rascher KG, Große-Stoltenberg A, Máguas C, Meira-Neto JAA, Werner C (2011) </w:t>
      </w:r>
      <w:r w:rsidRPr="00026EED">
        <w:rPr>
          <w:i/>
          <w:iCs/>
        </w:rPr>
        <w:t>Acacia longifolia</w:t>
      </w:r>
      <w:r>
        <w:t xml:space="preserve"> invasion impacts vegetation structure and regeneration dynamics in open dunes and pine forests. Biological Invasions 13:1099–1113 . https://doi.org/10.1007/s10530-011-9949-2</w:t>
      </w:r>
    </w:p>
    <w:p w14:paraId="489547DE" w14:textId="77777777" w:rsidR="00026EED" w:rsidRDefault="00026EED" w:rsidP="00F06F1E">
      <w:pPr>
        <w:pStyle w:val="Bibliography"/>
        <w:jc w:val="both"/>
      </w:pPr>
      <w:r>
        <w:t>Rédei K, Osvath-Bujtas Z, Veperdi I (2008) Black locust (</w:t>
      </w:r>
      <w:r w:rsidRPr="00026EED">
        <w:rPr>
          <w:i/>
          <w:iCs/>
        </w:rPr>
        <w:t>Robinia pseudoacacia</w:t>
      </w:r>
      <w:r>
        <w:t xml:space="preserve"> L.) improvement in Hungary: a review. Acta Silvatica et Lignaria Hungarica 4:127–132</w:t>
      </w:r>
    </w:p>
    <w:p w14:paraId="21F2DDBA" w14:textId="77777777" w:rsidR="00026EED" w:rsidRDefault="00026EED" w:rsidP="00F06F1E">
      <w:pPr>
        <w:pStyle w:val="Bibliography"/>
        <w:jc w:val="both"/>
      </w:pPr>
      <w:r>
        <w:t>Rejmánek M, Richardson DM (2013) Trees and shrubs as invasive alien species – 2013 update of the global database. Diversity and Distributions 19:1093–1094 . https://doi.org/10.1111/ddi.12075</w:t>
      </w:r>
    </w:p>
    <w:p w14:paraId="7D30E662" w14:textId="77777777" w:rsidR="00026EED" w:rsidRDefault="00026EED" w:rsidP="00F06F1E">
      <w:pPr>
        <w:pStyle w:val="Bibliography"/>
        <w:jc w:val="both"/>
      </w:pPr>
      <w:r>
        <w:t>Rhymer JM, Simberloff D (1996) Extinction by Hybridization and Introgression. Annual Review of Ecology and Systematics 27:83–109</w:t>
      </w:r>
    </w:p>
    <w:p w14:paraId="5803382F" w14:textId="77777777" w:rsidR="00026EED" w:rsidRDefault="00026EED" w:rsidP="00F06F1E">
      <w:pPr>
        <w:pStyle w:val="Bibliography"/>
        <w:jc w:val="both"/>
      </w:pPr>
      <w:r>
        <w:t>Richardson DM (2011) Forestry and Agroforestry. In: Encyclopedia of Biological Invasions, In: Simberloff D, Rejmánek M (eds). University of California Press, Berkeley and Los Angeles, pp 241–248</w:t>
      </w:r>
    </w:p>
    <w:p w14:paraId="0E8F4336" w14:textId="77777777" w:rsidR="00026EED" w:rsidRDefault="00026EED" w:rsidP="00F06F1E">
      <w:pPr>
        <w:pStyle w:val="Bibliography"/>
        <w:jc w:val="both"/>
      </w:pPr>
      <w:r>
        <w:t>Richardson DM, Pyšek P, Rejmánek M, Barbour MG, Panetta FD, West CJ (2000) Naturalization and invasion of alien plants: concepts and definitions. Diversity and Distributions 6:93–107 . https://doi.org/10.1046/j.1472-4642.2000.00083.x</w:t>
      </w:r>
    </w:p>
    <w:p w14:paraId="291223D1" w14:textId="77777777" w:rsidR="00026EED" w:rsidRDefault="00026EED" w:rsidP="00F06F1E">
      <w:pPr>
        <w:pStyle w:val="Bibliography"/>
        <w:jc w:val="both"/>
      </w:pPr>
      <w:r>
        <w:t>Rosendal GK (1995) The forest issue in post-UNCED international negotiations: conflicting interests and fora for reconciliation. Biodiversity &amp; Conservation 4:91–107 . https://doi.org/10.1007/BF00115315</w:t>
      </w:r>
    </w:p>
    <w:p w14:paraId="37F4E16B" w14:textId="77777777" w:rsidR="00026EED" w:rsidRDefault="00026EED" w:rsidP="00F06F1E">
      <w:pPr>
        <w:pStyle w:val="Bibliography"/>
        <w:jc w:val="both"/>
      </w:pPr>
      <w:r>
        <w:t>Rosenstock TS, Dawson IK, Aynekulu E, Chomba S, Degrande A, Fornace K, Jamnadass R, Kimaro A, Kindt R, Lamanna C, Malesu M, Mausch K, McMullin S, Murage P, Namoi N, Njenga M, Nyoka I, Paez Valencia AM, Sola P, Shepherd K, Steward P (2019) A Planetary Health Perspective on Agroforestry in Sub-Saharan Africa. One Earth 1:330–344 . https://doi.org/10.1016/j.oneear.2019.10.017</w:t>
      </w:r>
    </w:p>
    <w:p w14:paraId="48788D34" w14:textId="77777777" w:rsidR="00026EED" w:rsidRDefault="00026EED" w:rsidP="00F06F1E">
      <w:pPr>
        <w:pStyle w:val="Bibliography"/>
        <w:jc w:val="both"/>
      </w:pPr>
      <w:r>
        <w:t>Rouget M, Robertson MP, Wilson JRU, Hui C, Essl F, Renteria JL, Richardson DM (2016) Invasion debt – quantifying future biological invasions. Diversity and Distributions 22:445–456 . https://doi.org/10.1111/ddi.12408</w:t>
      </w:r>
    </w:p>
    <w:p w14:paraId="53CDDABB" w14:textId="77777777" w:rsidR="00026EED" w:rsidRDefault="00026EED" w:rsidP="00F06F1E">
      <w:pPr>
        <w:pStyle w:val="Bibliography"/>
        <w:jc w:val="both"/>
      </w:pPr>
      <w:r>
        <w:t>Ruohonen-Lehto MK, Lohtander KM, Sweet JB (2016) Specific Environmental Considerations for GM Trees and Guidance on Their Risk Assessment and Monitoring. In: Biosafety of Forest Transgenic Trees. Springer, pp 127–140</w:t>
      </w:r>
    </w:p>
    <w:p w14:paraId="1B4D25C8" w14:textId="08461926" w:rsidR="00026EED" w:rsidRDefault="00026EED" w:rsidP="00026EED">
      <w:pPr>
        <w:pStyle w:val="Bibliography"/>
      </w:pPr>
      <w:r>
        <w:t xml:space="preserve">Sádlo J, Vítková M, Pergl J, Pyšek P (2017) Towards site-specific management of invasive alien trees based on the assessment of their impacts: the case of </w:t>
      </w:r>
      <w:r w:rsidRPr="00026EED">
        <w:rPr>
          <w:i/>
          <w:iCs/>
        </w:rPr>
        <w:t>Robinia pseudoacacia</w:t>
      </w:r>
      <w:r>
        <w:t>. NeoBiota 35:1–34 . https://doi.org/10.3897/neobiota.35.11909</w:t>
      </w:r>
    </w:p>
    <w:p w14:paraId="79AF2811" w14:textId="1D4E79B8" w:rsidR="00026EED" w:rsidRDefault="00026EED" w:rsidP="00026EED">
      <w:pPr>
        <w:pStyle w:val="Bibliography"/>
      </w:pPr>
      <w:r>
        <w:lastRenderedPageBreak/>
        <w:t xml:space="preserve">Sánchez-Robles JM, Balao F, Terrab A, García-Castaño JL, Ortiz MA, Vela E, Talavera S (2014) Phylogeography of SW Mediterranean firs: Different European origins for the North African </w:t>
      </w:r>
      <w:r w:rsidRPr="00F06F1E">
        <w:rPr>
          <w:i/>
          <w:iCs/>
        </w:rPr>
        <w:t>Abies</w:t>
      </w:r>
      <w:r>
        <w:t xml:space="preserve"> species. Molecular Phylogenetics and Evolution 79:42–53. https://doi.org/10.1016/j.ympev.2014.06.005</w:t>
      </w:r>
    </w:p>
    <w:p w14:paraId="4FA12024" w14:textId="70B596BB" w:rsidR="00026EED" w:rsidRDefault="00026EED" w:rsidP="00026EED">
      <w:pPr>
        <w:pStyle w:val="Bibliography"/>
      </w:pPr>
      <w:r>
        <w:t>Santolamazza-Carbone S, Durán-Otero M, Calviño-Cancela M (2019) Context dependency, co-introductions, novel mutualisms, and host shifts shaped the ectomycorrhizal fungal communities of the alien tree Eucalyptus globulus. Scientific Reports 9:7121. https://doi.org/10.1038/s41598-019-42550-x</w:t>
      </w:r>
    </w:p>
    <w:p w14:paraId="735AEA9A" w14:textId="77777777" w:rsidR="00026EED" w:rsidRDefault="00026EED" w:rsidP="00026EED">
      <w:pPr>
        <w:pStyle w:val="Bibliography"/>
      </w:pPr>
      <w:r>
        <w:t>Simler AB, Williamson MA, Schwartz MW, Rizzo DM (2019) Amplifying plant disease risk through assisted migration. Conservation Letters 12:e12605 . https://doi.org/10.1111/conl.12605</w:t>
      </w:r>
    </w:p>
    <w:p w14:paraId="01E71ADF" w14:textId="77777777" w:rsidR="00026EED" w:rsidRDefault="00026EED" w:rsidP="00026EED">
      <w:pPr>
        <w:pStyle w:val="Bibliography"/>
      </w:pPr>
      <w:r>
        <w:t>Siple MC, Donahue MJ (2013) Invasive mangrove removal and recovery: Food web effects across a chronosequence. Journal of Experimental Marine Biology and Ecology 448:128–135 . https://doi.org/10.1016/j.jembe.2013.06.008</w:t>
      </w:r>
    </w:p>
    <w:p w14:paraId="19FE997B" w14:textId="77777777" w:rsidR="00026EED" w:rsidRDefault="00026EED" w:rsidP="00026EED">
      <w:pPr>
        <w:pStyle w:val="Bibliography"/>
      </w:pPr>
      <w:r>
        <w:t>Sitzia T, Campagnaro T, Dainese M, Cierjacks A (2012) Plant species diversity in alien black locust stands: A paired comparison with native stands across a north-Mediterranean range expansion. Forest Ecology and Management 285:85–91 . https://doi.org/10.1016/j.foreco.2012.08.016</w:t>
      </w:r>
    </w:p>
    <w:p w14:paraId="5752CD90" w14:textId="77777777" w:rsidR="00026EED" w:rsidRDefault="00026EED" w:rsidP="00026EED">
      <w:pPr>
        <w:pStyle w:val="Bibliography"/>
      </w:pPr>
      <w:r>
        <w:t>Smulders MJM, Beringen R, Volosyanchuk R, Vanden Broeck A, van der Schoot J, Arens P, Vosman B (2008) Natural hybridisation between Populus nigra L. and P. x canadensis Moench. Hybrid offspring competes for niches along the Rhine river in the Netherlands. Tree Genetics &amp; Genomes 4:663–675 . https://doi.org/10.1007/s11295-008-0141-5</w:t>
      </w:r>
    </w:p>
    <w:p w14:paraId="1EA501E7" w14:textId="139D1795" w:rsidR="00026EED" w:rsidRDefault="00026EED" w:rsidP="00026EED">
      <w:pPr>
        <w:pStyle w:val="Bibliography"/>
      </w:pPr>
      <w:r>
        <w:t>Stevens JT, Beckage B (2009) Fire feedbacks facilitate invasion of pine savannas by Brazilian pepper (Schinus terebinthifolius). New Phytologist 184:365–375. https://doi.org/10.1111/j.1469-8137.2009.02965.x</w:t>
      </w:r>
    </w:p>
    <w:p w14:paraId="3B46C6AC" w14:textId="77777777" w:rsidR="00026EED" w:rsidRDefault="00026EED" w:rsidP="00026EED">
      <w:pPr>
        <w:pStyle w:val="Bibliography"/>
      </w:pPr>
      <w:r>
        <w:t>Stromberg JC, Tluczek MGF, Hazelton AF, Ajami H (2010) A century of riparian forest expansion following extreme disturbance: Spatio-temporal change in Populus/Salix/Tamarix forests along the Upper San Pedro River, Arizona, USA. Forest Ecology and Management 259:1181–1189 . https://doi.org/10.1016/j.foreco.2010.01.005</w:t>
      </w:r>
    </w:p>
    <w:p w14:paraId="25408077" w14:textId="77777777" w:rsidR="00026EED" w:rsidRDefault="00026EED" w:rsidP="00026EED">
      <w:pPr>
        <w:pStyle w:val="Bibliography"/>
      </w:pPr>
      <w:r>
        <w:t>Tarasofsky RG (1999) Assessing the International Forest Regime. IUCN - The World Conservation Union, Gland, Switzerland and Cambridge, UK and Bonn, Germany</w:t>
      </w:r>
    </w:p>
    <w:p w14:paraId="368D0FC0" w14:textId="77777777" w:rsidR="00026EED" w:rsidRDefault="00026EED" w:rsidP="00026EED">
      <w:pPr>
        <w:pStyle w:val="Bibliography"/>
      </w:pPr>
      <w:r>
        <w:t>Tiedeman JA, Johnson DE (1992) Acacia cyanophylla for forage and fuelwood in North Africa. Agroforestry Systems 17:169–180 . https://doi.org/10.1007/BF00053121</w:t>
      </w:r>
    </w:p>
    <w:p w14:paraId="5CA20D45" w14:textId="77777777" w:rsidR="00026EED" w:rsidRDefault="00026EED" w:rsidP="00026EED">
      <w:pPr>
        <w:pStyle w:val="Bibliography"/>
      </w:pPr>
      <w:r>
        <w:t>Tschora H, Cherubini F (2020) Co-benefits and trade-offs of agroforestry for climate change mitigation and other sustainability goals in West Africa. Global Ecology and Conservation 22:e00919 . https://doi.org/10.1016/j.gecco.2020.e00919</w:t>
      </w:r>
    </w:p>
    <w:p w14:paraId="4FE3E5B5" w14:textId="77777777" w:rsidR="00026EED" w:rsidRDefault="00026EED" w:rsidP="00026EED">
      <w:pPr>
        <w:pStyle w:val="Bibliography"/>
      </w:pPr>
      <w:r>
        <w:lastRenderedPageBreak/>
        <w:t>Turner CE, Center TD, Burrows DW, Buckingham GR (1997) Ecology and management of Melaleuca quinquenervia, an invader of wetlands in Florida, U.S.A. Wetlands Ecology and Management 5:165–178 . https://doi.org/10.1023/A:1008205122757</w:t>
      </w:r>
    </w:p>
    <w:p w14:paraId="74F04231" w14:textId="77777777" w:rsidR="00026EED" w:rsidRDefault="00026EED" w:rsidP="00026EED">
      <w:pPr>
        <w:pStyle w:val="Bibliography"/>
      </w:pPr>
      <w:r>
        <w:t>Vaz AS, Kueffer C, Kull CA, Richardson DM, Vicente JR, Kühn I, Schröter M, Hauck J, Bonn A, Honrado JP (2017) Integrating ecosystem services and disservices: insights from plant invasions. Ecosystem Services 23:94–107 . https://doi.org/10.1016/j.ecoser.2016.11.017</w:t>
      </w:r>
    </w:p>
    <w:p w14:paraId="40285227" w14:textId="37236809" w:rsidR="00026EED" w:rsidRDefault="00026EED" w:rsidP="00026EED">
      <w:pPr>
        <w:pStyle w:val="Bibliography"/>
      </w:pPr>
      <w:r>
        <w:t xml:space="preserve">Vítková M, Sádlo J, Roleček J, Petřík P, Sitzia T, Müllerová J, Pyšek P (2020) </w:t>
      </w:r>
      <w:r w:rsidRPr="00F06F1E">
        <w:rPr>
          <w:i/>
          <w:iCs/>
        </w:rPr>
        <w:t>Robinia pseudoacaci</w:t>
      </w:r>
      <w:r>
        <w:t>a-dominated vegetation types of Southern Europe: Species composition, history, distribution and management. Science of The Total Environment 707:134857. https://doi.org/10.1016/j.scitotenv.2019.134857</w:t>
      </w:r>
    </w:p>
    <w:p w14:paraId="65E481D9" w14:textId="77777777" w:rsidR="00026EED" w:rsidRDefault="00026EED" w:rsidP="00026EED">
      <w:pPr>
        <w:pStyle w:val="Bibliography"/>
      </w:pPr>
      <w:r>
        <w:t>Wang B, Liu G, Xue S (2012) Effect of black locust (</w:t>
      </w:r>
      <w:r w:rsidRPr="00F06F1E">
        <w:rPr>
          <w:i/>
          <w:iCs/>
        </w:rPr>
        <w:t>Robinia pseudoacacia</w:t>
      </w:r>
      <w:r>
        <w:t>) on soil chemical and microbiological properties in the eroded hilly area of China’s Loess Plateau. Environmental Earth Sciences 65:597–607 . https://doi.org/10.1007/s12665-011-1107-8</w:t>
      </w:r>
    </w:p>
    <w:p w14:paraId="0A566051" w14:textId="77777777" w:rsidR="00026EED" w:rsidRDefault="00026EED" w:rsidP="00026EED">
      <w:pPr>
        <w:pStyle w:val="Bibliography"/>
      </w:pPr>
      <w:r>
        <w:t>Williams M, Winn M (1977) A plantation of monkey puzzle at Monreith, Wigtownshire. Scottish Forestry 31:71–73</w:t>
      </w:r>
    </w:p>
    <w:p w14:paraId="3A84718A" w14:textId="236BA775" w:rsidR="00A94389" w:rsidRPr="00C9564D" w:rsidRDefault="00A94389" w:rsidP="003754EC">
      <w:pPr>
        <w:spacing w:before="120" w:after="120"/>
        <w:jc w:val="both"/>
        <w:rPr>
          <w:color w:val="000000" w:themeColor="text1"/>
        </w:rPr>
      </w:pPr>
      <w:r w:rsidRPr="00C9564D">
        <w:rPr>
          <w:color w:val="2F5496" w:themeColor="accent1" w:themeShade="BF"/>
          <w:sz w:val="20"/>
          <w:szCs w:val="20"/>
        </w:rPr>
        <w:fldChar w:fldCharType="end"/>
      </w:r>
    </w:p>
    <w:p w14:paraId="79F35931" w14:textId="07B1B673" w:rsidR="00A94389" w:rsidRPr="00C9564D" w:rsidRDefault="00A94389" w:rsidP="00A57294">
      <w:pPr>
        <w:spacing w:before="120" w:after="120"/>
        <w:jc w:val="both"/>
        <w:rPr>
          <w:color w:val="000000" w:themeColor="text1"/>
        </w:rPr>
      </w:pPr>
    </w:p>
    <w:p w14:paraId="47B100D1" w14:textId="6C791DC0" w:rsidR="00A94389" w:rsidRPr="00C9564D" w:rsidRDefault="00A94389" w:rsidP="00A57294">
      <w:pPr>
        <w:spacing w:before="120" w:after="120"/>
        <w:jc w:val="both"/>
        <w:rPr>
          <w:color w:val="000000" w:themeColor="text1"/>
        </w:rPr>
      </w:pPr>
    </w:p>
    <w:p w14:paraId="7D77480E" w14:textId="64144449" w:rsidR="00A94389" w:rsidRPr="00C9564D" w:rsidRDefault="00A94389" w:rsidP="00A57294">
      <w:pPr>
        <w:spacing w:before="120" w:after="120"/>
        <w:jc w:val="both"/>
        <w:rPr>
          <w:color w:val="000000" w:themeColor="text1"/>
        </w:rPr>
      </w:pPr>
    </w:p>
    <w:p w14:paraId="788C8074" w14:textId="77777777" w:rsidR="00A94389" w:rsidRPr="00C9564D" w:rsidRDefault="00A94389" w:rsidP="00A57294">
      <w:pPr>
        <w:spacing w:before="120" w:after="120"/>
        <w:jc w:val="both"/>
        <w:rPr>
          <w:color w:val="000000" w:themeColor="text1"/>
        </w:rPr>
      </w:pPr>
    </w:p>
    <w:p w14:paraId="24610B19" w14:textId="2D924DD5" w:rsidR="00A57294" w:rsidRPr="00C9564D" w:rsidRDefault="00A57294" w:rsidP="00ED117C">
      <w:pPr>
        <w:spacing w:before="120" w:after="120"/>
        <w:jc w:val="both"/>
        <w:rPr>
          <w:color w:val="000000" w:themeColor="text1"/>
        </w:rPr>
      </w:pPr>
    </w:p>
    <w:p w14:paraId="660DD950" w14:textId="77777777" w:rsidR="002919FC" w:rsidRPr="00C9564D" w:rsidRDefault="002919FC"/>
    <w:sectPr w:rsidR="002919FC" w:rsidRPr="00C9564D" w:rsidSect="00A85D58">
      <w:pgSz w:w="12240" w:h="15840"/>
      <w:pgMar w:top="1134" w:right="1418" w:bottom="1134" w:left="1425" w:header="709" w:footer="709" w:gutter="0"/>
      <w:lnNumType w:countBy="1" w:restart="continuous"/>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C66D" w14:textId="77777777" w:rsidR="00AA5398" w:rsidRDefault="00AA5398" w:rsidP="00A57294">
      <w:r>
        <w:separator/>
      </w:r>
    </w:p>
  </w:endnote>
  <w:endnote w:type="continuationSeparator" w:id="0">
    <w:p w14:paraId="2BBF12C0" w14:textId="77777777" w:rsidR="00AA5398" w:rsidRDefault="00AA5398" w:rsidP="00A5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Gulliv-R">
    <w:altName w:val="Malgun Gothic"/>
    <w:charset w:val="81"/>
    <w:family w:val="auto"/>
    <w:pitch w:val="default"/>
    <w:sig w:usb0="00000000" w:usb1="09060000" w:usb2="00000010" w:usb3="00000000" w:csb0="0008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B41D" w14:textId="77777777" w:rsidR="00ED117C" w:rsidRDefault="00ED117C">
    <w:pPr>
      <w:pStyle w:val="Footer"/>
      <w:tabs>
        <w:tab w:val="clear" w:pos="8640"/>
        <w:tab w:val="right" w:pos="94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83B9" w14:textId="77777777" w:rsidR="00AA5398" w:rsidRDefault="00AA5398" w:rsidP="00A57294">
      <w:r>
        <w:separator/>
      </w:r>
    </w:p>
  </w:footnote>
  <w:footnote w:type="continuationSeparator" w:id="0">
    <w:p w14:paraId="7F972355" w14:textId="77777777" w:rsidR="00AA5398" w:rsidRDefault="00AA5398" w:rsidP="00A57294">
      <w:r>
        <w:continuationSeparator/>
      </w:r>
    </w:p>
  </w:footnote>
  <w:footnote w:id="1">
    <w:p w14:paraId="388BDAC6" w14:textId="1B9787F4" w:rsidR="00ED117C" w:rsidRPr="00E25924" w:rsidRDefault="00ED117C">
      <w:pPr>
        <w:pStyle w:val="FootnoteText"/>
        <w:rPr>
          <w:rFonts w:ascii="Times New Roman" w:hAnsi="Times New Roman" w:cs="Times New Roman"/>
        </w:rPr>
      </w:pPr>
      <w:r w:rsidRPr="00BA28D3">
        <w:rPr>
          <w:rStyle w:val="FootnoteReference"/>
        </w:rPr>
        <w:footnoteRef/>
      </w:r>
      <w:r>
        <w:t xml:space="preserve"> </w:t>
      </w:r>
      <w:r w:rsidRPr="00E25924">
        <w:rPr>
          <w:rFonts w:ascii="Times New Roman" w:hAnsi="Times New Roman" w:cs="Times New Roman"/>
        </w:rPr>
        <w:t>EICAT, Environmental Impact Classification of Alien Taxa</w:t>
      </w:r>
      <w:r>
        <w:rPr>
          <w:rFonts w:ascii="Times New Roman" w:hAnsi="Times New Roman" w:cs="Times New Roman"/>
        </w:rPr>
        <w:t xml:space="preserve">, see </w:t>
      </w:r>
      <w:r>
        <w:rPr>
          <w:rFonts w:ascii="Times New Roman" w:hAnsi="Times New Roman" w:cs="Times New Roman"/>
        </w:rPr>
        <w:fldChar w:fldCharType="begin"/>
      </w:r>
      <w:r>
        <w:rPr>
          <w:rFonts w:ascii="Times New Roman" w:hAnsi="Times New Roman" w:cs="Times New Roman"/>
        </w:rPr>
        <w:instrText xml:space="preserve"> ADDIN ZOTERO_ITEM CSL_CITATION {"citationID":"3Bf65VX3","properties":{"formattedCitation":"(Hawkins et al. 2015)","plainCitation":"(Hawkins et al. 2015)","dontUpdate":true,"noteIndex":1},"citationItems":[{"id":539,"uris":["http://zotero.org/users/6602900/items/CHSYVPNG"],"uri":["http://zotero.org/users/6602900/items/CHSYVPNG"],"itemData":{"id":539,"type":"article-journal","abstract":"Abstract Recently, Blackburn et al. (2014) developed a simple, objective and transparent method for classifying alien taxa in terms of the magnitude of their detrimental environmental impacts in recipient areas. Here, we present a comprehensive framework and guidelines for implementing this method, which we term the Environmental Impact Classification for Alien Taxa, or EICAT. We detail criteria for applying the EICAT scheme in a consistent and comparable fashion, prescribe the supporting information that should be supplied along with classifications, and describe the process for implementing the method. This comment aims to draw the attention of interested parties to the framework and guidelines, and to present them in their entirety in a location where they are freely accessible to any potential users.","container-title":"Diversity and Distributions","DOI":"10.1111/ddi.12379","ISSN":"1366-9516","issue":"11","journalAbbreviation":"Diversity and Distributions","note":"publisher: John Wiley &amp; Sons, Ltd","page":"1360-1363","title":"Framework and guidelines for implementing the proposed IUCN Environmental Impact Classification for Alien Taxa (EICAT)","volume":"21","author":[{"family":"Hawkins","given":"Charlotte L."},{"family":"Bacher","given":"Sven"},{"family":"Essl","given":"Franz"},{"family":"Hulme","given":"Philip E."},{"family":"Jeschke","given":"Jonathan M."},{"family":"Kühn","given":"Ingolf"},{"family":"Kumschick","given":"Sabrina"},{"family":"Nentwig","given":"Wolfgang"},{"family":"Pergl","given":"Jan"},{"family":"Pyšek","given":"Petr"},{"family":"Rabitsch","given":"Wolfgang"},{"family":"Richardson","given":"David M."},{"family":"Vilà","given":"Montserrat"},{"family":"Wilson","given":"John R. U."},{"family":"Genovesi","given":"Piero"},{"family":"Blackburn","given":"Tim M."}],"issued":{"date-parts":[["2015",11,1]]}}}],"schema":"https://github.com/citation-style-language/schema/raw/master/csl-citation.json"} </w:instrText>
      </w:r>
      <w:r>
        <w:rPr>
          <w:rFonts w:ascii="Times New Roman" w:hAnsi="Times New Roman" w:cs="Times New Roman"/>
        </w:rPr>
        <w:fldChar w:fldCharType="separate"/>
      </w:r>
      <w:r w:rsidRPr="00D95703">
        <w:rPr>
          <w:rFonts w:ascii="Times New Roman" w:hAnsi="Times New Roman" w:cs="Times New Roman"/>
        </w:rPr>
        <w:t xml:space="preserve">Hawkins et al. </w:t>
      </w:r>
      <w:r>
        <w:rPr>
          <w:rFonts w:ascii="Times New Roman" w:hAnsi="Times New Roman" w:cs="Times New Roman"/>
        </w:rPr>
        <w:t>(</w:t>
      </w:r>
      <w:r w:rsidRPr="00D95703">
        <w:rPr>
          <w:rFonts w:ascii="Times New Roman" w:hAnsi="Times New Roman" w:cs="Times New Roman"/>
        </w:rPr>
        <w:t>2015)</w:t>
      </w:r>
      <w:r>
        <w:rPr>
          <w:rFonts w:ascii="Times New Roman" w:hAnsi="Times New Roman" w:cs="Times New Roman"/>
        </w:rPr>
        <w:fldChar w:fldCharType="end"/>
      </w:r>
      <w:r>
        <w:rPr>
          <w:rFonts w:ascii="Times New Roman" w:hAnsi="Times New Roman" w:cs="Times New Roman"/>
        </w:rPr>
        <w:t xml:space="preserve">, and </w:t>
      </w:r>
      <w:r w:rsidRPr="00D95703">
        <w:rPr>
          <w:rFonts w:ascii="Times New Roman" w:hAnsi="Times New Roman" w:cs="Times New Roman"/>
        </w:rPr>
        <w:t>https://www.iucn.org/theme/species/our-work/invasive-species/eicat</w:t>
      </w:r>
    </w:p>
  </w:footnote>
  <w:footnote w:id="2">
    <w:p w14:paraId="45E3F81C" w14:textId="4889C285"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Tamarisk taxa (</w:t>
      </w:r>
      <w:r w:rsidRPr="002B4411">
        <w:rPr>
          <w:rFonts w:ascii="Times New Roman" w:hAnsi="Times New Roman" w:cs="Times New Roman"/>
          <w:i/>
          <w:iCs/>
        </w:rPr>
        <w:t>Tamarix ramosissima</w:t>
      </w:r>
      <w:r w:rsidRPr="002B4411">
        <w:rPr>
          <w:rFonts w:ascii="Times New Roman" w:hAnsi="Times New Roman" w:cs="Times New Roman"/>
        </w:rPr>
        <w:t xml:space="preserve">, </w:t>
      </w:r>
      <w:r w:rsidRPr="002B4411">
        <w:rPr>
          <w:rFonts w:ascii="Times New Roman" w:hAnsi="Times New Roman" w:cs="Times New Roman"/>
          <w:i/>
          <w:iCs/>
        </w:rPr>
        <w:t>T. chinensis</w:t>
      </w:r>
      <w:r w:rsidRPr="002B4411">
        <w:rPr>
          <w:rFonts w:ascii="Times New Roman" w:hAnsi="Times New Roman" w:cs="Times New Roman"/>
        </w:rPr>
        <w:t xml:space="preserve"> and their hybrids) were introduced to the United States from Asia in the late 1800s for the control of soil erosion and landscaping purposes. They are now the third most prevalent alien tree riparian taxon in the western United States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{"citationID":"TYkBZPEX","properties":{"formattedCitation":"(Friedman et al. 2005)","plainCitation":"(Friedman et al. 2005)","noteIndex":2},"citationItems":[{"id":661,"uris":["http://zotero.org/users/6602900/items/AH7DWF55"],"uri":["http://zotero.org/users/6602900/items/AH7DWF55"],"itemData":{"id":661,"type":"article-journal","abstract":"Concern about spread of non-native riparian trees in the western USA has led to Congressional proposals to accelerate control efforts. Debate over these proposals is frustrated by limited knowledge of non-native species distribution and abundance. We measured abundance of 44 riparian woody plants at 475 randomly selected stream gaging stations in 17 western states. Our sample indicates that Tamarix ramosissima and Elaeagnus angustifolia are already the third and fourth most frequently occurring woody riparian plants in the region. Although many species of Tamarix have been reported in the region, T. ramosissima (here including T. chinensis and hybrids) is by far the most abundant. The frequency of occurrence of T. ramosissima has a strong positive relation with the mean annual minimum temperature, which is consistent with hypothesized frost sensitivity. In contrast the frequency of occurrence of E. angustifolia decreases with increasing minimum temperatures. Based on mean normalized cover, T. ramosissima and E. angustifolia are the second and fifth most dominant woody riparian species in the western USA. The dominance of T. ramosissima has been suspected for decades; the regional ascendance of E. angustifolia, however, has not previously been reported.","container-title":"Biological Invasions","DOI":"10.1007/s10530-004-5849-z","ISSN":"1573-1464","issue":"4","journalAbbreviation":"Biological Invasions","page":"747-751","title":"Dominance of non-native riparian trees in western USA","volume":"7","author":[{"family":"Friedman","given":"Jonathan M."},{"family":"Auble","given":"Gregor T."},{"family":"Shafroth","given":"Patrick B."},{"family":"Scott","given":"Michael L."},{"family":"Merigliano","given":"Michael F."},{"family":"Freehling","given":"Michael D."},{"family":"Griffin","given":"Eleanor R."}],"issued":{"date-parts":[["2005",7,1]]}}}],"schema":"https://github.com/citation-style-language/schema/raw/master/csl-citation.json"} </w:instrText>
      </w:r>
      <w:r>
        <w:rPr>
          <w:rFonts w:ascii="Times New Roman" w:hAnsi="Times New Roman" w:cs="Times New Roman"/>
        </w:rPr>
        <w:fldChar w:fldCharType="separate"/>
      </w:r>
      <w:r w:rsidR="00026EED" w:rsidRPr="00026EED">
        <w:rPr>
          <w:rFonts w:ascii="Times New Roman" w:hAnsi="Times New Roman" w:cs="Times New Roman"/>
        </w:rPr>
        <w:t>(Friedman et al. 2005)</w:t>
      </w:r>
      <w:r>
        <w:rPr>
          <w:rFonts w:ascii="Times New Roman" w:hAnsi="Times New Roman" w:cs="Times New Roman"/>
        </w:rPr>
        <w:fldChar w:fldCharType="end"/>
      </w:r>
      <w:r w:rsidRPr="002B4411">
        <w:rPr>
          <w:rFonts w:ascii="Times New Roman" w:hAnsi="Times New Roman" w:cs="Times New Roman"/>
        </w:rPr>
        <w:t>.</w:t>
      </w:r>
    </w:p>
  </w:footnote>
  <w:footnote w:id="3">
    <w:p w14:paraId="03AA0B7D" w14:textId="3904FDAF" w:rsidR="00ED117C" w:rsidRPr="002B4411" w:rsidRDefault="00ED117C" w:rsidP="00830EE5">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 xml:space="preserve">E.g. </w:t>
      </w:r>
      <w:r w:rsidRPr="002B4411">
        <w:rPr>
          <w:rFonts w:ascii="Times New Roman" w:hAnsi="Times New Roman" w:cs="Times New Roman"/>
          <w:i/>
          <w:iCs/>
        </w:rPr>
        <w:t>Abies nebrodensis</w:t>
      </w:r>
      <w:r w:rsidRPr="002B4411">
        <w:rPr>
          <w:rFonts w:ascii="Times New Roman" w:hAnsi="Times New Roman" w:cs="Times New Roman"/>
        </w:rPr>
        <w:t>, or Sicilian fir, is an endemic species of Sicily</w:t>
      </w:r>
      <w:r>
        <w:rPr>
          <w:rFonts w:ascii="Times New Roman" w:hAnsi="Times New Roman" w:cs="Times New Roman"/>
        </w:rPr>
        <w:t xml:space="preserve"> (</w:t>
      </w:r>
      <w:r w:rsidRPr="002B4411">
        <w:rPr>
          <w:rFonts w:ascii="Times New Roman" w:hAnsi="Times New Roman" w:cs="Times New Roman"/>
        </w:rPr>
        <w:t>Italy</w:t>
      </w:r>
      <w:r>
        <w:rPr>
          <w:rFonts w:ascii="Times New Roman" w:hAnsi="Times New Roman" w:cs="Times New Roman"/>
        </w:rPr>
        <w:t>)</w:t>
      </w:r>
      <w:r w:rsidRPr="002B4411">
        <w:rPr>
          <w:rFonts w:ascii="Times New Roman" w:hAnsi="Times New Roman" w:cs="Times New Roman"/>
        </w:rPr>
        <w:t xml:space="preserve">, growing on the Madonie </w:t>
      </w:r>
      <w:r>
        <w:rPr>
          <w:rFonts w:ascii="Times New Roman" w:hAnsi="Times New Roman" w:cs="Times New Roman"/>
        </w:rPr>
        <w:t xml:space="preserve">mountain </w:t>
      </w:r>
      <w:r w:rsidRPr="002B4411">
        <w:rPr>
          <w:rFonts w:ascii="Times New Roman" w:hAnsi="Times New Roman" w:cs="Times New Roman"/>
        </w:rPr>
        <w:t>range at 1700–1900 m above sea level. It is a highly-endangered species, comprising a single relict population of approximately 30 adult trees spread over an area of 150 ha</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{"citationID":"kYdR4K9b","properties":{"formattedCitation":"(S\\uc0\\u225{}nchez-Robles et al. 2014; Pasta et al. 2020)","plainCitation":"(Sánchez-Robles et al. 2014; Pasta et al. 2020)","noteIndex":3},"citationItems":[{"id":664,"uris":["http://zotero.org/users/6602900/items/VYKN95TJ"],"uri":["http://zotero.org/users/6602900/items/VYKN95TJ"],"itemData":{"id":664,"type":"article-journal","abstract":"The current distribution of Western Mediterranean Abies species is a result of complex geodynamic processes and climatic oscillations that occurred in the past. Abies sect. Piceaster offers a good study model to explore how geo-climatic oscillations might have influenced its expansion and diversification on both sides of the W Mediterranean basin. We investigated the genetic variation within and among nine populations from five Abies species by molecular markers with high and low mutation rates and contrasting inheritance (AFLP and cpSSR). Analyses revealed the opening of the Strait of Gibraltar as an effective barrier against gene flow between the Southern Iberian (A. pinsapo) and North African (A. marocana and A. tazaotana) firs. The A. pinsapo populations in Spain and likewise those of the A. marocana – A. tazaotana population complex were not differentiated, and no evidence was found to distinguish A. tazaotana at the species level. Diversification of Abies across North Africa could occur by way of at least two vicariant events from Europe, in the west, giving rise to the A. marocana – A. tazaotana complex, and in the east, giving A. numidica. Secondary contacts among species from Abies sect. Piceaster (A. pinsapo and A. numidica), and with A. alba (Abies sect. Abies) are also indicated. However, there is a closer relationship between the Algerian fir (A. numidica) and the North Mediterranean widespread A. alba, than with the Moroccan firs (A. marocana and A. tazaotana) or the Southern Iberian (A. pinsapo). We also discuss the distribution range of these taxa in its paleogeological and paleoclimatic context, and propose that part of the modern geography of the South-Western Mediterranean firs might be traced back to the Tertiary.","container-title":"Molecular Phylogenetics and Evolution","DOI":"10.1016/j.ympev.2014.06.005","ISSN":"1055-7903","journalAbbreviation":"Molecular Phylogenetics and Evolution","page":"42-53","title":"Phylogeography of SW Mediterranean firs: Different European origins for the North African Abies species","volume":"79","author":[{"family":"Sánchez-Robles","given":"Jose M."},{"family":"Balao","given":"Francisco"},{"family":"Terrab","given":"Anass"},{"family":"García-Castaño","given":"Juan L."},{"family":"Ortiz","given":"María A."},{"family":"Vela","given":"Errol"},{"family":"Talavera","given":"Salvador"}],"issued":{"date-parts":[["2014",10,1]]}}},{"id":663,"uris":["http://zotero.org/users/6602900/items/PJWSFZIR"],"uri":["http://zotero.org/users/6602900/items/PJWSFZIR"],"itemData":{"id":663,"type":"article-journal","abstract":"The present study provides a critical review of the available historical data on the distribution of Abies nebrodensis, a fir tree endemic to Sicily. The only (somewhat ambiguous) references to its occurrence on Mount Etna date back to the 1st century bc and refer back to the 3rd century bc. Although the botanical and forestry literature and the very few surviving herbarium specimens do not prove that A. nebrodensis grew outside the Madonie mountain range, several indications suggest its past occurrence on other Sicilian mountain ranges such as the Erei, Nebrodi, and probably also Sicani mountains. The results of the most recent pollen investigations (still ongoing) point to the disappearance of Abies from most of Sicily by the 1st century bc, and at least since the Middle Ages A. nebrodensis had become extremely rare even on the Madonie mountains. Publications focused on the wooden artefacts from archaeological excavations and the restoration of architectural heritage have provided some information on the past use of fir wood in Sicily, but the species identity of the firs being used remain unresolved. The present review of the past occurrence and distribution of A. nebrodensis suggests that it may have previously occupied a wider ecological niche.","container-title":"Vegetation History and Archaeobotany","DOI":"10.1007/s00334-019-00747-0","ISSN":"1617-6278","issue":"3","journalAbbreviation":"Vegetation History and Archaeobotany","page":"357-371","title":"The past distribution of Abies nebrodensis (Lojac.) Mattei: results of a multidisciplinary study","volume":"29","author":[{"family":"Pasta","given":"Salvatore"},{"family":"Sala","given":"Giovanna"},{"family":"La Mantia","given":"Tommaso"},{"family":"Bondì","given":"Cristina"},{"family":"Tinner","given":"Willy"}],"issued":{"date-parts":[["2020",5,1]]}}}],"schema":"https://github.com/citation-style-language/schema/raw/master/csl-citation.json"} </w:instrText>
      </w:r>
      <w:r>
        <w:rPr>
          <w:rFonts w:ascii="Times New Roman" w:hAnsi="Times New Roman" w:cs="Times New Roman"/>
        </w:rPr>
        <w:fldChar w:fldCharType="separate"/>
      </w:r>
      <w:r w:rsidR="00026EED" w:rsidRPr="00026EED">
        <w:rPr>
          <w:rFonts w:ascii="Times New Roman" w:hAnsi="Times New Roman" w:cs="Times New Roman"/>
          <w:szCs w:val="24"/>
        </w:rPr>
        <w:t>(Sánchez-Robles et al. 2014; Pasta et al. 2020)</w:t>
      </w:r>
      <w:r>
        <w:rPr>
          <w:rFonts w:ascii="Times New Roman" w:hAnsi="Times New Roman" w:cs="Times New Roman"/>
        </w:rPr>
        <w:fldChar w:fldCharType="end"/>
      </w:r>
      <w:r w:rsidRPr="002B4411">
        <w:rPr>
          <w:rFonts w:ascii="Times New Roman" w:hAnsi="Times New Roman" w:cs="Times New Roman"/>
        </w:rPr>
        <w:t>.</w:t>
      </w:r>
    </w:p>
  </w:footnote>
  <w:footnote w:id="4">
    <w:p w14:paraId="2F55AAAB" w14:textId="30F19756"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 xml:space="preserve">COP 11 Decision XI/19, Hyderabad, India, 8-19 October 2012 - “Biodiversity and climate change related issues: advice on the application of relevant safeguards for biodiversity with regard to policy </w:t>
      </w:r>
      <w:r w:rsidRPr="003B2822">
        <w:rPr>
          <w:rFonts w:ascii="Times New Roman" w:hAnsi="Times New Roman" w:cs="Times New Roman"/>
        </w:rPr>
        <w:t xml:space="preserve">approaches and positive incentives on issues relating to reducing emissions from deforestation and forest degradation in developing countries; and the role of conservation, sustainable management of forests and enhancement of forest carbon stocks in developing countries”. </w:t>
      </w:r>
      <w:r w:rsidRPr="003B2822">
        <w:rPr>
          <w:rFonts w:ascii="Times New Roman" w:hAnsi="Times New Roman" w:cs="Times New Roman"/>
          <w:i/>
          <w:iCs/>
        </w:rPr>
        <w:t>Cf.</w:t>
      </w:r>
      <w:r w:rsidRPr="003B2822">
        <w:rPr>
          <w:rFonts w:ascii="Times New Roman" w:hAnsi="Times New Roman" w:cs="Times New Roman"/>
        </w:rPr>
        <w:t xml:space="preserve"> also Secretariat of the Convention on Biological Diversity (2002) (</w:t>
      </w:r>
      <w:hyperlink r:id="rId1" w:history="1">
        <w:r w:rsidRPr="00E205FC">
          <w:rPr>
            <w:rStyle w:val="Hyperlink"/>
            <w:rFonts w:ascii="Times New Roman" w:hAnsi="Times New Roman"/>
            <w:color w:val="auto"/>
            <w:u w:val="none"/>
          </w:rPr>
          <w:t>https://www.cbd.int/doc/publications/cbd-ts-07.pdf</w:t>
        </w:r>
      </w:hyperlink>
      <w:r w:rsidRPr="003B2822">
        <w:rPr>
          <w:rFonts w:ascii="Times New Roman" w:hAnsi="Times New Roman" w:cs="Times New Roman"/>
        </w:rPr>
        <w:t xml:space="preserve">). The section on “unsustainable forest management” reports case studies on </w:t>
      </w:r>
      <w:r w:rsidRPr="003B2822">
        <w:rPr>
          <w:rFonts w:ascii="Times New Roman" w:hAnsi="Times New Roman" w:cs="Times New Roman"/>
          <w:i/>
          <w:iCs/>
        </w:rPr>
        <w:t xml:space="preserve">Leucaena leucocephala, Miconia calvescens, Spathodea campanulata </w:t>
      </w:r>
      <w:r w:rsidRPr="003B2822">
        <w:rPr>
          <w:rFonts w:ascii="Times New Roman" w:hAnsi="Times New Roman" w:cs="Times New Roman"/>
        </w:rPr>
        <w:t>and</w:t>
      </w:r>
      <w:r w:rsidRPr="003B2822">
        <w:rPr>
          <w:rFonts w:ascii="Times New Roman" w:hAnsi="Times New Roman" w:cs="Times New Roman"/>
          <w:i/>
          <w:iCs/>
        </w:rPr>
        <w:t xml:space="preserve"> Cordia alliodora</w:t>
      </w:r>
      <w:r w:rsidRPr="003B2822">
        <w:rPr>
          <w:rFonts w:ascii="Times New Roman" w:hAnsi="Times New Roman" w:cs="Times New Roman"/>
        </w:rPr>
        <w:t xml:space="preserve"> impacts.</w:t>
      </w:r>
    </w:p>
  </w:footnote>
  <w:footnote w:id="5">
    <w:p w14:paraId="04812051" w14:textId="77777777"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sidRPr="002B4411">
        <w:rPr>
          <w:rFonts w:ascii="Times New Roman" w:hAnsi="Times New Roman" w:cs="Times New Roman"/>
        </w:rPr>
        <w:t xml:space="preserve"> Global Mechanism of the UNCCD and CBD. 2019. Land Degradation Neutrality for Biodiversity Conservation: How healthy land safeguards nature. Technical Report. Bonn, Germany.</w:t>
      </w:r>
    </w:p>
  </w:footnote>
  <w:footnote w:id="6">
    <w:p w14:paraId="68C16DC2" w14:textId="3529F743"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The Council of Europe includes 47 member states, 28 of which are members of the European Union. (http://www.coe.int/en/web/portal/home).</w:t>
      </w:r>
    </w:p>
  </w:footnote>
  <w:footnote w:id="7">
    <w:p w14:paraId="5F9C9D5E" w14:textId="25FFA626"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In Article 11, paragraph 2.b of the Convention, each Contracting Party undertakes to strictly control the introduction of non-native species.</w:t>
      </w:r>
    </w:p>
  </w:footnote>
  <w:footnote w:id="8">
    <w:p w14:paraId="164DFC96" w14:textId="5B95CD5B"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Recommendation No. 57 (1997) on the Introduction of Organisms belonging to Non-Native Species into the Environment; Recommendation No. 91 (2002) on Invasive Alien Species that threaten biological diversity in Islands and geographically and evolutionary isolated ecosystems; Recommendation No. 77 (1999) on the eradication of non-native terrestrial vertebrates; Recommendation No. 99 (2003) on the European Strategy on Invasive Alien Species, which recommends that Contracting Parties: draw up and implement national strategies on invasive alien species taking into account the European Strategy on Invasive Alien Species. And co-operate, as appropriate, with other Contracting Parties and Observer States in prevention, mitigation and eradication or containment of alien species; Recommendation No. 134 (2008) of the Standing Committee, adopted on 27 November 2008, on the European Code of Conduct on Horticulture and Invasive Alien Plants; Recommendation No 141 (2009) of the Standing Committee, adopted on 26 November 2009, on potentially invasive alien plants being used as biofuel crops.</w:t>
      </w:r>
    </w:p>
    <w:p w14:paraId="48DFCD60" w14:textId="1CF3F5D3" w:rsidR="00ED117C" w:rsidRPr="002B4411" w:rsidRDefault="00ED117C" w:rsidP="00A57294">
      <w:pPr>
        <w:pStyle w:val="FootnoteText"/>
        <w:spacing w:before="120" w:after="120"/>
        <w:rPr>
          <w:rFonts w:ascii="Times New Roman" w:hAnsi="Times New Roman" w:cs="Times New Roman"/>
        </w:rPr>
      </w:pPr>
      <w:r w:rsidRPr="002B4411">
        <w:rPr>
          <w:rFonts w:ascii="Times New Roman" w:hAnsi="Times New Roman" w:cs="Times New Roman"/>
        </w:rPr>
        <w:t>Recommendation No. 142 (2009) the Standing Committee, adopted on 26 November 2009, interpreting the CBD definition of invasive alien species to take into account climate change. It recommends Contracting Parties to the Convention and invites Observer States to: “interpret the term “alien species” for the purpose of the implementation of the European Strategy on Invasive Alien Species as not including native species naturally extending their range in response to climate change”; Recommendation No. 160 (2012) of the Standing Committee, adopted on 30 November 2012, on the European Code of Conduct for Botanic Gardens on Invasive Alien Species; Recommendation No. 179 (2015) of the Standing Committee - Strasbourg, 1 December - 4 December 2015, on action to promote and complement the implementation of EU Regulation 1143/2014 on invasive alien species. (http://www.coe.int/en/web/bern-convention/recommendations-on-ias).</w:t>
      </w:r>
    </w:p>
  </w:footnote>
  <w:footnote w:id="9">
    <w:p w14:paraId="4CD6AF45" w14:textId="562A6A5B"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 xml:space="preserve">Appendix I: This appendix represents species that are in the most danger and are considered to be threatened with extinction, and are consequently the most restricted in international trade. Appendix II: This appendix contains species that are at risk in the wild, but not necessarily threatened with extinction. Species in this appendix are closely regulated, but are typically not as restricted as Appendix I. Appendix III: This appendix contains species that a certain country (called a “party” within CITES), has voluntarily requested to be regulated in order to help preserve the species in question. Appendix III species regulation is only applicable for the specific party that has requested its inclusion, and is therefore much less restrictive than Appendix I or II. CITES is implemented in the EU through the Wildlife Trade Regulations. Currently these are Council Regulation 338/97/EC on the protection of species of wild fauna and flora by regulating trade therein (the Basic Regulation) and Commission Regulation 865/2006/EC laying down detailed rules concerning the implementation of Council Regulation 338/97/EC (the Implementing Regulation). Suspension regulations including 997/2010/EC (5 November 2010) and Regulation 359/2009/EC (30 April 2009) suspend the introduction into the Community of certain species from certain countries. </w:t>
      </w:r>
    </w:p>
  </w:footnote>
  <w:footnote w:id="10">
    <w:p w14:paraId="630ECA46" w14:textId="3BF81FCA"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i/>
          <w:iCs/>
        </w:rPr>
        <w:t>Araucaria araucana</w:t>
      </w:r>
      <w:r w:rsidRPr="002B4411">
        <w:rPr>
          <w:rFonts w:ascii="Times New Roman" w:hAnsi="Times New Roman" w:cs="Times New Roman"/>
        </w:rPr>
        <w:t xml:space="preserve"> has been widely planted as a specimen tree in temperate areas all over the world, but there are virtually no planted forests. A small-scale plantation was established in southwest Scotland in 1916 </w:t>
      </w:r>
      <w:r w:rsidR="003E4584">
        <w:rPr>
          <w:rFonts w:ascii="Times New Roman" w:hAnsi="Times New Roman" w:cs="Times New Roman"/>
        </w:rPr>
        <w:fldChar w:fldCharType="begin"/>
      </w:r>
      <w:r w:rsidR="003E4584">
        <w:rPr>
          <w:rFonts w:ascii="Times New Roman" w:hAnsi="Times New Roman" w:cs="Times New Roman"/>
        </w:rPr>
        <w:instrText xml:space="preserve"> ADDIN ZOTERO_ITEM CSL_CITATION {"citationID":"UYF9XQEL","properties":{"formattedCitation":"(Williams and Winn 1977)","plainCitation":"(Williams and Winn 1977)","noteIndex":10},"citationItems":[{"id":732,"uris":["http://zotero.org/users/6602900/items/P76JZIXX"],"uri":["http://zotero.org/users/6602900/items/P76JZIXX"],"itemData":{"id":732,"type":"article-journal","container-title":"Scottish Forestry","ISSN":"0036-9217","issue":"2","journalAbbreviation":"Scottish Forestry","page":"71-73","title":"A plantation of monkey puzzle at Monreith, Wigtownshire.","volume":"31","author":[{"family":"Williams","given":"MRW"},{"family":"Winn","given":"M"}],"issued":{"date-parts":[["1977"]]}}}],"schema":"https://github.com/citation-style-language/schema/raw/master/csl-citation.json"} </w:instrText>
      </w:r>
      <w:r w:rsidR="003E4584">
        <w:rPr>
          <w:rFonts w:ascii="Times New Roman" w:hAnsi="Times New Roman" w:cs="Times New Roman"/>
        </w:rPr>
        <w:fldChar w:fldCharType="separate"/>
      </w:r>
      <w:r w:rsidR="00026EED" w:rsidRPr="00026EED">
        <w:rPr>
          <w:rFonts w:ascii="Times New Roman" w:hAnsi="Times New Roman" w:cs="Times New Roman"/>
        </w:rPr>
        <w:t>(Williams and Winn 1977)</w:t>
      </w:r>
      <w:r w:rsidR="003E4584">
        <w:rPr>
          <w:rFonts w:ascii="Times New Roman" w:hAnsi="Times New Roman" w:cs="Times New Roman"/>
        </w:rPr>
        <w:fldChar w:fldCharType="end"/>
      </w:r>
      <w:r w:rsidRPr="002B4411">
        <w:rPr>
          <w:rFonts w:ascii="Times New Roman" w:hAnsi="Times New Roman" w:cs="Times New Roman"/>
        </w:rPr>
        <w:t xml:space="preserve">). Endangered for IUCN, </w:t>
      </w:r>
      <w:r w:rsidRPr="002B4411">
        <w:rPr>
          <w:rFonts w:ascii="Times New Roman" w:hAnsi="Times New Roman" w:cs="Times New Roman"/>
          <w:i/>
          <w:iCs/>
        </w:rPr>
        <w:t>Araucaria araucana</w:t>
      </w:r>
      <w:r w:rsidRPr="002B4411">
        <w:rPr>
          <w:rFonts w:ascii="Times New Roman" w:hAnsi="Times New Roman" w:cs="Times New Roman"/>
        </w:rPr>
        <w:t xml:space="preserve"> is listed on Appendix I of CITES which strictly regulates the trade in its timber and seeds (CITES 20</w:t>
      </w:r>
      <w:r w:rsidR="003E4584">
        <w:rPr>
          <w:rFonts w:ascii="Times New Roman" w:hAnsi="Times New Roman" w:cs="Times New Roman"/>
        </w:rPr>
        <w:t>20</w:t>
      </w:r>
      <w:r w:rsidRPr="002B4411">
        <w:rPr>
          <w:rFonts w:ascii="Times New Roman" w:hAnsi="Times New Roman" w:cs="Times New Roman"/>
        </w:rPr>
        <w:t>: http://www.iucnredlist.org/details/31355/0).</w:t>
      </w:r>
    </w:p>
  </w:footnote>
  <w:footnote w:id="11">
    <w:p w14:paraId="4972C1F6" w14:textId="7528E04C"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i/>
          <w:iCs/>
        </w:rPr>
        <w:t>Dalbergia nigra</w:t>
      </w:r>
      <w:r w:rsidRPr="002B4411">
        <w:rPr>
          <w:rFonts w:ascii="Times New Roman" w:hAnsi="Times New Roman" w:cs="Times New Roman"/>
        </w:rPr>
        <w:t xml:space="preserve"> (Vell.) Allemao ex Benth, known as the Brazilian rosewood or </w:t>
      </w:r>
      <w:r w:rsidR="003B2822">
        <w:rPr>
          <w:rFonts w:ascii="Times New Roman" w:hAnsi="Times New Roman" w:cs="Times New Roman"/>
        </w:rPr>
        <w:t>J</w:t>
      </w:r>
      <w:r w:rsidR="003B2822" w:rsidRPr="002B4411">
        <w:rPr>
          <w:rFonts w:ascii="Times New Roman" w:hAnsi="Times New Roman" w:cs="Times New Roman"/>
        </w:rPr>
        <w:t>acaranda</w:t>
      </w:r>
      <w:r w:rsidRPr="002B4411">
        <w:rPr>
          <w:rFonts w:ascii="Times New Roman" w:hAnsi="Times New Roman" w:cs="Times New Roman"/>
        </w:rPr>
        <w:t xml:space="preserve">-da-Bahia, is a tree species endemic to the central Atlantic Forest in Brazil. This species produces a high-quality wood that is highly valued for the manufacture of musical instruments and fine furniture, thus resulting in its overcutting since the colonization of Brazil. </w:t>
      </w:r>
      <w:r w:rsidRPr="002B4411">
        <w:rPr>
          <w:rFonts w:ascii="Times New Roman" w:hAnsi="Times New Roman" w:cs="Times New Roman"/>
          <w:i/>
          <w:iCs/>
        </w:rPr>
        <w:t>D. nigra</w:t>
      </w:r>
      <w:r w:rsidRPr="002B4411">
        <w:rPr>
          <w:rFonts w:ascii="Times New Roman" w:hAnsi="Times New Roman" w:cs="Times New Roman"/>
        </w:rPr>
        <w:t xml:space="preserve"> is a threatened tree that is in the “Endangered” category due to its over-exploration, the absence of replacement plantations and the deforestation of the Atlantic Forest - (IUCN). </w:t>
      </w:r>
      <w:r w:rsidRPr="002B4411">
        <w:rPr>
          <w:rFonts w:ascii="Times New Roman" w:hAnsi="Times New Roman" w:cs="Times New Roman"/>
          <w:i/>
          <w:iCs/>
        </w:rPr>
        <w:t>D. nigra</w:t>
      </w:r>
      <w:r w:rsidRPr="002B4411">
        <w:rPr>
          <w:rFonts w:ascii="Times New Roman" w:hAnsi="Times New Roman" w:cs="Times New Roman"/>
        </w:rPr>
        <w:t xml:space="preserve"> is extremely rare in nature, and its international trade has been prohibited since the 1990s by the Convention on International Trade in Endangered Species of Wild Fauna and Flora (CITES 2008, Appendix I, II and III to the Convention on International Trade in Endangered Species of Wild Fauna and Flora. US Fish and Wildlife Service: Washington; Ribeiro et al. 2011; Taylor et al. 2012). Further information can be found in the Resolution Conf. 13.10 (Thirteenth meeting of the Conference of the Parties - http://www.cites.org/eng/res/13/13-10.php).</w:t>
      </w:r>
    </w:p>
  </w:footnote>
  <w:footnote w:id="12">
    <w:p w14:paraId="5287CEBC" w14:textId="4883B820"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sidRPr="002B4411">
        <w:rPr>
          <w:rFonts w:ascii="Times New Roman" w:hAnsi="Times New Roman" w:cs="Times New Roman"/>
        </w:rPr>
        <w:t xml:space="preserve"> FOREST EUROPE has also developed, in cooperation with the Environment for Europe/Pan European Biological and Landscape Diversity Strategy, the “Pan-European Guidelines for Afforestation and Reforestation” with a special focus on the provisions of the UNFCCC. The Guidelines, agreed in 2008, recognize the role of sustainable forest management in climate change mitigations. They form a set of recommendations for voluntary use by national authorities and other bodies and stakeholders relevant to implement economically viable, environmentally sound and socially equitable afforestation and reforestation programmes and projects. In the section titled “Ecological Guidelines”, guideline 19 affirms that “native tree species, provenance and varieties or ecotypes that are well adapted to site conditions should be used for afforestation and reforestation where appropriate”; guideline 20 that “the need to consider adaptation to climate change should be taken into account when choosing species, provenances and varieties for afforestation and reforestation” and guideline 21 that “species, provenances, varieties or ecotypes outside their natural range should only be used where their introduction would not endanger important and/or valuable indigenous ecosystems, flora and fauna. Those that are likely to be invasive should be avoided using the CBD Guiding Principle for the Prevention, Introduction, and Mitigation of Impacts of Alien Species That Threaten Ecosystems, Habitats or Species”. In addition, guideline 22 states that “a precautionary approach should be taken to the use of genetically modified trees. Ecological socio-economic and cultural impacts, including long term effects should be analysed and a thorough, comprehensive and transparent risk assessment should be completed in accordance with the Cartagena Protocol on Biosafety. In this context, the potential impacts of genetically modified trees on native gene polls should be fully considered”.</w:t>
      </w:r>
    </w:p>
  </w:footnote>
  <w:footnote w:id="13">
    <w:p w14:paraId="3F12F05E" w14:textId="5D527A21" w:rsidR="00ED117C" w:rsidRPr="003B2822" w:rsidRDefault="00ED117C" w:rsidP="00A57294">
      <w:pPr>
        <w:pStyle w:val="FootnoteText"/>
        <w:spacing w:before="120" w:after="120"/>
        <w:rPr>
          <w:rFonts w:ascii="Times New Roman" w:hAnsi="Times New Roman" w:cs="Times New Roman"/>
        </w:rPr>
      </w:pPr>
      <w:r w:rsidRPr="003B2822">
        <w:rPr>
          <w:rStyle w:val="FootnoteReference"/>
        </w:rPr>
        <w:footnoteRef/>
      </w:r>
      <w:r w:rsidRPr="003B2822">
        <w:rPr>
          <w:rFonts w:ascii="Times New Roman" w:hAnsi="Times New Roman" w:cs="Times New Roman"/>
        </w:rPr>
        <w:t xml:space="preserve"> FSC 2012. FSC Principles and Criteria for Forest Stewardship. </w:t>
      </w:r>
      <w:r w:rsidRPr="003B2822">
        <w:rPr>
          <w:rFonts w:ascii="Times New Roman" w:hAnsi="Times New Roman" w:cs="Times New Roman"/>
          <w:lang w:val="en-US"/>
        </w:rPr>
        <w:t xml:space="preserve">Document reference code : FSC-STD-01-001 V5-0 EN. </w:t>
      </w:r>
      <w:r w:rsidRPr="003B2822">
        <w:rPr>
          <w:rFonts w:ascii="Times New Roman" w:hAnsi="Times New Roman" w:cs="Times New Roman"/>
        </w:rPr>
        <w:t xml:space="preserve">Approval date: 10 February 2012. Forest Stewardship Council. </w:t>
      </w:r>
      <w:hyperlink r:id="rId2" w:history="1">
        <w:r w:rsidRPr="00E205FC">
          <w:rPr>
            <w:rStyle w:val="Hyperlink"/>
            <w:rFonts w:ascii="Times New Roman" w:hAnsi="Times New Roman"/>
            <w:color w:val="auto"/>
            <w:u w:val="none"/>
          </w:rPr>
          <w:t>https://ic.fsc.org/download.fsc-std-01-001-v5-0-revised-principles-and-criteria-for-forest-stewardship.a-1780.pdf</w:t>
        </w:r>
      </w:hyperlink>
      <w:r w:rsidRPr="003B2822">
        <w:rPr>
          <w:rFonts w:ascii="Times New Roman" w:hAnsi="Times New Roman" w:cs="Times New Roman"/>
        </w:rPr>
        <w:t xml:space="preserve"> [Accessed May 20</w:t>
      </w:r>
      <w:r w:rsidR="003E4584" w:rsidRPr="003B2822">
        <w:rPr>
          <w:rFonts w:ascii="Times New Roman" w:hAnsi="Times New Roman" w:cs="Times New Roman"/>
        </w:rPr>
        <w:t>20</w:t>
      </w:r>
      <w:r w:rsidRPr="003B2822">
        <w:rPr>
          <w:rFonts w:ascii="Times New Roman" w:hAnsi="Times New Roman" w:cs="Times New Roman"/>
        </w:rPr>
        <w:t>].</w:t>
      </w:r>
    </w:p>
  </w:footnote>
  <w:footnote w:id="14">
    <w:p w14:paraId="549C1978" w14:textId="4805D83E" w:rsidR="00ED117C" w:rsidRPr="002B4411" w:rsidRDefault="00ED117C" w:rsidP="00A57294">
      <w:pPr>
        <w:pStyle w:val="FootnoteText"/>
        <w:spacing w:before="120" w:after="120"/>
        <w:rPr>
          <w:rFonts w:ascii="Times New Roman" w:hAnsi="Times New Roman" w:cs="Times New Roman"/>
        </w:rPr>
      </w:pPr>
      <w:r w:rsidRPr="003B2822">
        <w:rPr>
          <w:rStyle w:val="FootnoteReference"/>
        </w:rPr>
        <w:footnoteRef/>
      </w:r>
      <w:r w:rsidRPr="003B2822">
        <w:rPr>
          <w:rFonts w:ascii="Times New Roman" w:hAnsi="Times New Roman" w:cs="Times New Roman"/>
        </w:rPr>
        <w:t xml:space="preserve"> The person or entity holding or applying for certification and therefore responsible for demonstrating compliance with the requirements upon which FSC certification </w:t>
      </w:r>
      <w:r w:rsidRPr="002B4411">
        <w:rPr>
          <w:rFonts w:ascii="Times New Roman" w:hAnsi="Times New Roman" w:cs="Times New Roman"/>
        </w:rPr>
        <w:t>is based (Source: FSC 20</w:t>
      </w:r>
      <w:r w:rsidR="003E4584">
        <w:rPr>
          <w:rFonts w:ascii="Times New Roman" w:hAnsi="Times New Roman" w:cs="Times New Roman"/>
        </w:rPr>
        <w:t>20</w:t>
      </w:r>
      <w:r w:rsidRPr="002B4411">
        <w:rPr>
          <w:rFonts w:ascii="Times New Roman" w:hAnsi="Times New Roman" w:cs="Times New Roman"/>
        </w:rPr>
        <w:t>).</w:t>
      </w:r>
    </w:p>
  </w:footnote>
  <w:footnote w:id="15">
    <w:p w14:paraId="0389E9D6" w14:textId="41D6FE96" w:rsidR="00ED117C" w:rsidRPr="002B4411" w:rsidRDefault="00ED117C" w:rsidP="00A57294">
      <w:pPr>
        <w:pStyle w:val="FootnoteText"/>
        <w:spacing w:before="120" w:after="120"/>
        <w:rPr>
          <w:rFonts w:ascii="Times New Roman" w:hAnsi="Times New Roman" w:cs="Times New Roman"/>
        </w:rPr>
      </w:pPr>
      <w:r w:rsidRPr="00BA28D3">
        <w:rPr>
          <w:rStyle w:val="FootnoteReference"/>
        </w:rPr>
        <w:footnoteRef/>
      </w:r>
      <w:r>
        <w:rPr>
          <w:rFonts w:ascii="Times New Roman" w:hAnsi="Times New Roman" w:cs="Times New Roman"/>
        </w:rPr>
        <w:t xml:space="preserve"> </w:t>
      </w:r>
      <w:r w:rsidRPr="002B4411">
        <w:rPr>
          <w:rFonts w:ascii="Times New Roman" w:hAnsi="Times New Roman" w:cs="Times New Roman"/>
        </w:rPr>
        <w:t>A species, subspecies or lower taxon, introduced outside its natural past or present distribution; includes any part, gametes, seeds, eggs, or propagules of such species that might survive and subsequently reproduce (Source: Convention on Biological Diversity (CBD), Invasive Alien Species Programme. Glossary of Terms as provided on CBD website) Source: FSC 20</w:t>
      </w:r>
      <w:r w:rsidR="003E4584">
        <w:rPr>
          <w:rFonts w:ascii="Times New Roman" w:hAnsi="Times New Roman" w:cs="Times New Roman"/>
        </w:rPr>
        <w:t>20</w:t>
      </w:r>
      <w:r w:rsidRPr="002B4411">
        <w:rPr>
          <w:rFonts w:ascii="Times New Roman" w:hAnsi="Times New Roman" w:cs="Times New Roman"/>
        </w:rPr>
        <w:t>.</w:t>
      </w:r>
    </w:p>
  </w:footnote>
  <w:footnote w:id="16">
    <w:p w14:paraId="0D62C7A2" w14:textId="364D7598" w:rsidR="00ED117C" w:rsidRPr="002B4411" w:rsidRDefault="00ED117C" w:rsidP="005958FD">
      <w:pPr>
        <w:pStyle w:val="FootnoteText"/>
        <w:spacing w:before="120" w:after="120"/>
        <w:rPr>
          <w:rFonts w:ascii="Times New Roman" w:hAnsi="Times New Roman" w:cs="Times New Roman"/>
        </w:rPr>
      </w:pPr>
      <w:r w:rsidRPr="003E4584">
        <w:rPr>
          <w:rStyle w:val="FootnoteReference"/>
        </w:rPr>
        <w:footnoteRef/>
      </w:r>
      <w:r>
        <w:rPr>
          <w:rFonts w:ascii="Times New Roman" w:hAnsi="Times New Roman" w:cs="Times New Roman"/>
        </w:rPr>
        <w:t xml:space="preserve"> </w:t>
      </w:r>
      <w:r w:rsidRPr="00C501A1">
        <w:rPr>
          <w:rFonts w:ascii="Times New Roman" w:hAnsi="Times New Roman" w:cs="Times New Roman"/>
        </w:rPr>
        <w:t>PEFC ST 1003:2018 - PEFC Sustainable Forest Management benchmarks – Requirements. https://cdn.pefc.org/pefc.org/media/2019-01/b296ddcb-5f6b-42d8-bc98-5db98f62203e/6c7c212a-c37c-59ee-a2ca-b8c91c8beb93.pdf</w:t>
      </w:r>
      <w:r w:rsidRPr="002B441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41E7" w14:textId="77777777" w:rsidR="00ED117C" w:rsidRPr="00922B8D" w:rsidRDefault="00ED117C" w:rsidP="00D06125">
    <w:pPr>
      <w:pStyle w:val="Header"/>
      <w:tabs>
        <w:tab w:val="clear" w:pos="4320"/>
        <w:tab w:val="clear" w:pos="8640"/>
        <w:tab w:val="center" w:pos="6804"/>
        <w:tab w:val="right" w:pos="14250"/>
      </w:tabs>
      <w:ind w:right="360"/>
      <w:jc w:val="center"/>
      <w:rPr>
        <w:rFonts w:ascii="Calibri" w:hAnsi="Calibri"/>
      </w:rPr>
    </w:pPr>
    <w:r w:rsidRPr="00922B8D">
      <w:rPr>
        <w:rStyle w:val="PageNumber"/>
        <w:rFonts w:ascii="Calibri" w:hAnsi="Calibri"/>
        <w:sz w:val="22"/>
        <w:szCs w:val="22"/>
      </w:rPr>
      <w:fldChar w:fldCharType="begin"/>
    </w:r>
    <w:r w:rsidRPr="00922B8D">
      <w:rPr>
        <w:rStyle w:val="PageNumber"/>
        <w:rFonts w:ascii="Calibri" w:hAnsi="Calibri"/>
        <w:sz w:val="22"/>
        <w:szCs w:val="22"/>
      </w:rPr>
      <w:instrText xml:space="preserve"> PAGE </w:instrText>
    </w:r>
    <w:r w:rsidRPr="00922B8D">
      <w:rPr>
        <w:rStyle w:val="PageNumber"/>
        <w:rFonts w:ascii="Calibri" w:hAnsi="Calibri"/>
        <w:sz w:val="22"/>
        <w:szCs w:val="22"/>
      </w:rPr>
      <w:fldChar w:fldCharType="separate"/>
    </w:r>
    <w:r>
      <w:rPr>
        <w:rStyle w:val="PageNumber"/>
        <w:rFonts w:ascii="Calibri" w:hAnsi="Calibri"/>
        <w:noProof/>
        <w:sz w:val="22"/>
        <w:szCs w:val="22"/>
      </w:rPr>
      <w:t>40</w:t>
    </w:r>
    <w:r w:rsidRPr="00922B8D">
      <w:rPr>
        <w:rStyle w:val="PageNumber"/>
        <w:rFonts w:ascii="Calibri" w:hAnsi="Calibri"/>
        <w:sz w:val="22"/>
        <w:szCs w:val="22"/>
      </w:rPr>
      <w:fldChar w:fldCharType="end"/>
    </w:r>
  </w:p>
  <w:p w14:paraId="7A200625" w14:textId="77777777" w:rsidR="00ED117C" w:rsidRPr="00922B8D" w:rsidRDefault="00ED117C">
    <w:pPr>
      <w:pStyle w:val="Header"/>
      <w:tabs>
        <w:tab w:val="clear" w:pos="4320"/>
        <w:tab w:val="clear" w:pos="8640"/>
        <w:tab w:val="center" w:pos="4503"/>
        <w:tab w:val="right" w:pos="14250"/>
      </w:tabs>
      <w:ind w:right="360"/>
      <w:rPr>
        <w:rFonts w:ascii="Calibri" w:hAnsi="Calibri"/>
      </w:rPr>
    </w:pPr>
  </w:p>
  <w:p w14:paraId="3998A15E" w14:textId="77777777" w:rsidR="00ED117C" w:rsidRDefault="00ED117C">
    <w:pPr>
      <w:pStyle w:val="Header"/>
      <w:tabs>
        <w:tab w:val="clear" w:pos="4320"/>
        <w:tab w:val="clear" w:pos="8640"/>
        <w:tab w:val="center" w:pos="4503"/>
        <w:tab w:val="right" w:pos="1425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FBB8" w14:textId="77777777" w:rsidR="00ED117C" w:rsidRPr="00922B8D" w:rsidRDefault="00ED117C" w:rsidP="00D06125">
    <w:pPr>
      <w:pStyle w:val="Header"/>
      <w:tabs>
        <w:tab w:val="clear" w:pos="4320"/>
        <w:tab w:val="clear" w:pos="8640"/>
        <w:tab w:val="center" w:pos="6804"/>
        <w:tab w:val="right" w:pos="13608"/>
        <w:tab w:val="right" w:pos="14535"/>
        <w:tab w:val="right" w:pos="14592"/>
      </w:tabs>
      <w:jc w:val="center"/>
      <w:rPr>
        <w:rFonts w:ascii="Calibri" w:hAnsi="Calibri"/>
      </w:rPr>
    </w:pPr>
    <w:r w:rsidRPr="00922B8D">
      <w:rPr>
        <w:rStyle w:val="PageNumber"/>
        <w:rFonts w:ascii="Calibri" w:hAnsi="Calibri"/>
        <w:sz w:val="22"/>
        <w:szCs w:val="22"/>
      </w:rPr>
      <w:fldChar w:fldCharType="begin"/>
    </w:r>
    <w:r w:rsidRPr="00922B8D">
      <w:rPr>
        <w:rStyle w:val="PageNumber"/>
        <w:rFonts w:ascii="Calibri" w:hAnsi="Calibri"/>
        <w:sz w:val="22"/>
        <w:szCs w:val="22"/>
      </w:rPr>
      <w:instrText xml:space="preserve"> PAGE </w:instrText>
    </w:r>
    <w:r w:rsidRPr="00922B8D">
      <w:rPr>
        <w:rStyle w:val="PageNumber"/>
        <w:rFonts w:ascii="Calibri" w:hAnsi="Calibri"/>
        <w:sz w:val="22"/>
        <w:szCs w:val="22"/>
      </w:rPr>
      <w:fldChar w:fldCharType="separate"/>
    </w:r>
    <w:r>
      <w:rPr>
        <w:rStyle w:val="PageNumber"/>
        <w:rFonts w:ascii="Calibri" w:hAnsi="Calibri"/>
        <w:noProof/>
        <w:sz w:val="22"/>
        <w:szCs w:val="22"/>
      </w:rPr>
      <w:t>41</w:t>
    </w:r>
    <w:r w:rsidRPr="00922B8D">
      <w:rPr>
        <w:rStyle w:val="PageNumber"/>
        <w:rFonts w:ascii="Calibri" w:hAnsi="Calibri"/>
        <w:sz w:val="22"/>
        <w:szCs w:val="22"/>
      </w:rPr>
      <w:fldChar w:fldCharType="end"/>
    </w:r>
  </w:p>
  <w:p w14:paraId="47E1AC04" w14:textId="77777777" w:rsidR="00ED117C" w:rsidRDefault="00ED117C">
    <w:pPr>
      <w:pStyle w:val="Header"/>
      <w:tabs>
        <w:tab w:val="clear" w:pos="4320"/>
        <w:tab w:val="clear" w:pos="8640"/>
        <w:tab w:val="center" w:pos="4560"/>
        <w:tab w:val="right" w:pos="9063"/>
        <w:tab w:val="right" w:pos="14022"/>
        <w:tab w:val="right" w:pos="14592"/>
      </w:tabs>
    </w:pPr>
  </w:p>
  <w:p w14:paraId="3790FE21" w14:textId="77777777" w:rsidR="00ED117C" w:rsidRDefault="00ED117C">
    <w:pPr>
      <w:pStyle w:val="Header"/>
      <w:tabs>
        <w:tab w:val="clear" w:pos="4320"/>
        <w:tab w:val="clear" w:pos="8640"/>
        <w:tab w:val="center" w:pos="4560"/>
        <w:tab w:val="right" w:pos="9063"/>
        <w:tab w:val="right" w:pos="14022"/>
        <w:tab w:val="right" w:pos="14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94"/>
    <w:rsid w:val="00025624"/>
    <w:rsid w:val="00026274"/>
    <w:rsid w:val="00026EED"/>
    <w:rsid w:val="000324E0"/>
    <w:rsid w:val="0003608A"/>
    <w:rsid w:val="0007092B"/>
    <w:rsid w:val="000724D9"/>
    <w:rsid w:val="000740E0"/>
    <w:rsid w:val="0008596B"/>
    <w:rsid w:val="00094453"/>
    <w:rsid w:val="000A02BC"/>
    <w:rsid w:val="000A5AF0"/>
    <w:rsid w:val="000B1321"/>
    <w:rsid w:val="000B6856"/>
    <w:rsid w:val="000C4528"/>
    <w:rsid w:val="000C762C"/>
    <w:rsid w:val="000D5AA9"/>
    <w:rsid w:val="000D6A00"/>
    <w:rsid w:val="000E1B4E"/>
    <w:rsid w:val="001111C2"/>
    <w:rsid w:val="00124E44"/>
    <w:rsid w:val="00127B84"/>
    <w:rsid w:val="001344A1"/>
    <w:rsid w:val="0014522C"/>
    <w:rsid w:val="00191C42"/>
    <w:rsid w:val="001A0C87"/>
    <w:rsid w:val="001B58E0"/>
    <w:rsid w:val="001C1B80"/>
    <w:rsid w:val="001E1309"/>
    <w:rsid w:val="001E50DF"/>
    <w:rsid w:val="001E77A9"/>
    <w:rsid w:val="001F4100"/>
    <w:rsid w:val="00221EC2"/>
    <w:rsid w:val="00251E5B"/>
    <w:rsid w:val="002919FC"/>
    <w:rsid w:val="0029471C"/>
    <w:rsid w:val="002B2D6B"/>
    <w:rsid w:val="003751A9"/>
    <w:rsid w:val="003754EC"/>
    <w:rsid w:val="00385119"/>
    <w:rsid w:val="003949EF"/>
    <w:rsid w:val="003A3BDF"/>
    <w:rsid w:val="003B2822"/>
    <w:rsid w:val="003D56F5"/>
    <w:rsid w:val="003E2C24"/>
    <w:rsid w:val="003E4584"/>
    <w:rsid w:val="003E651F"/>
    <w:rsid w:val="003E7C09"/>
    <w:rsid w:val="00441A5F"/>
    <w:rsid w:val="00463EC0"/>
    <w:rsid w:val="00484FD8"/>
    <w:rsid w:val="00494CC8"/>
    <w:rsid w:val="004A37BD"/>
    <w:rsid w:val="004C0243"/>
    <w:rsid w:val="004D1EF0"/>
    <w:rsid w:val="005324A4"/>
    <w:rsid w:val="00534739"/>
    <w:rsid w:val="00544BF6"/>
    <w:rsid w:val="005454A8"/>
    <w:rsid w:val="005563D5"/>
    <w:rsid w:val="00571671"/>
    <w:rsid w:val="005958FD"/>
    <w:rsid w:val="005A3C23"/>
    <w:rsid w:val="005A7795"/>
    <w:rsid w:val="005D55A2"/>
    <w:rsid w:val="005F1F35"/>
    <w:rsid w:val="0060772C"/>
    <w:rsid w:val="00633532"/>
    <w:rsid w:val="00643D36"/>
    <w:rsid w:val="00644FE8"/>
    <w:rsid w:val="00650788"/>
    <w:rsid w:val="00662439"/>
    <w:rsid w:val="00681F58"/>
    <w:rsid w:val="00690558"/>
    <w:rsid w:val="00693CC3"/>
    <w:rsid w:val="006D4594"/>
    <w:rsid w:val="006D6C23"/>
    <w:rsid w:val="006E1AC8"/>
    <w:rsid w:val="006E4A44"/>
    <w:rsid w:val="00702B6F"/>
    <w:rsid w:val="007115A1"/>
    <w:rsid w:val="00717D12"/>
    <w:rsid w:val="00724439"/>
    <w:rsid w:val="00740709"/>
    <w:rsid w:val="0079445A"/>
    <w:rsid w:val="007974A3"/>
    <w:rsid w:val="007C7EA7"/>
    <w:rsid w:val="007D15D8"/>
    <w:rsid w:val="007D410D"/>
    <w:rsid w:val="007E7FED"/>
    <w:rsid w:val="007F1CFF"/>
    <w:rsid w:val="0080187B"/>
    <w:rsid w:val="008245D6"/>
    <w:rsid w:val="00830EE5"/>
    <w:rsid w:val="00843AC9"/>
    <w:rsid w:val="00855B0C"/>
    <w:rsid w:val="00861966"/>
    <w:rsid w:val="00891941"/>
    <w:rsid w:val="008B2544"/>
    <w:rsid w:val="008B53D6"/>
    <w:rsid w:val="008B7687"/>
    <w:rsid w:val="008E32F7"/>
    <w:rsid w:val="00910E28"/>
    <w:rsid w:val="00941BE2"/>
    <w:rsid w:val="00947EE9"/>
    <w:rsid w:val="009823BC"/>
    <w:rsid w:val="0098446D"/>
    <w:rsid w:val="009863AF"/>
    <w:rsid w:val="009A2EFD"/>
    <w:rsid w:val="009B1E43"/>
    <w:rsid w:val="009B6600"/>
    <w:rsid w:val="009C7DBB"/>
    <w:rsid w:val="00A04A60"/>
    <w:rsid w:val="00A17C51"/>
    <w:rsid w:val="00A32497"/>
    <w:rsid w:val="00A52810"/>
    <w:rsid w:val="00A57294"/>
    <w:rsid w:val="00A8033F"/>
    <w:rsid w:val="00A85D58"/>
    <w:rsid w:val="00A94389"/>
    <w:rsid w:val="00A9621F"/>
    <w:rsid w:val="00AA5398"/>
    <w:rsid w:val="00AB5528"/>
    <w:rsid w:val="00AC0195"/>
    <w:rsid w:val="00AF58B4"/>
    <w:rsid w:val="00AF6900"/>
    <w:rsid w:val="00AF695C"/>
    <w:rsid w:val="00B303A3"/>
    <w:rsid w:val="00B40F91"/>
    <w:rsid w:val="00B50045"/>
    <w:rsid w:val="00B91E0B"/>
    <w:rsid w:val="00B96A6C"/>
    <w:rsid w:val="00BA28D3"/>
    <w:rsid w:val="00BA5D58"/>
    <w:rsid w:val="00BB4FB7"/>
    <w:rsid w:val="00BC6279"/>
    <w:rsid w:val="00BE3E0C"/>
    <w:rsid w:val="00BF028C"/>
    <w:rsid w:val="00BF190B"/>
    <w:rsid w:val="00C07365"/>
    <w:rsid w:val="00C07371"/>
    <w:rsid w:val="00C1098D"/>
    <w:rsid w:val="00C23418"/>
    <w:rsid w:val="00C37C44"/>
    <w:rsid w:val="00C65110"/>
    <w:rsid w:val="00C9564D"/>
    <w:rsid w:val="00C95EA7"/>
    <w:rsid w:val="00CC3181"/>
    <w:rsid w:val="00CD78F7"/>
    <w:rsid w:val="00D0035F"/>
    <w:rsid w:val="00D06125"/>
    <w:rsid w:val="00D34EBB"/>
    <w:rsid w:val="00D621D1"/>
    <w:rsid w:val="00D62B97"/>
    <w:rsid w:val="00D62E99"/>
    <w:rsid w:val="00D67940"/>
    <w:rsid w:val="00D95703"/>
    <w:rsid w:val="00DC1D11"/>
    <w:rsid w:val="00DD14FB"/>
    <w:rsid w:val="00E0770A"/>
    <w:rsid w:val="00E12325"/>
    <w:rsid w:val="00E1667B"/>
    <w:rsid w:val="00E205FC"/>
    <w:rsid w:val="00E24FEF"/>
    <w:rsid w:val="00E25924"/>
    <w:rsid w:val="00E42ED3"/>
    <w:rsid w:val="00E500DB"/>
    <w:rsid w:val="00E57104"/>
    <w:rsid w:val="00E76C74"/>
    <w:rsid w:val="00E813D3"/>
    <w:rsid w:val="00EB2321"/>
    <w:rsid w:val="00ED117C"/>
    <w:rsid w:val="00EF00F3"/>
    <w:rsid w:val="00F06F1E"/>
    <w:rsid w:val="00F125BA"/>
    <w:rsid w:val="00F14C9E"/>
    <w:rsid w:val="00F16DF8"/>
    <w:rsid w:val="00F255C1"/>
    <w:rsid w:val="00F45B45"/>
    <w:rsid w:val="00F4764E"/>
    <w:rsid w:val="00F67D2B"/>
    <w:rsid w:val="00F70ADA"/>
    <w:rsid w:val="00F77A92"/>
    <w:rsid w:val="00FA3F0F"/>
    <w:rsid w:val="00FA6402"/>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8029"/>
  <w15:chartTrackingRefBased/>
  <w15:docId w15:val="{08FF3D23-A349-4CBB-BBD2-2435F391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94"/>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A57294"/>
    <w:pPr>
      <w:keepNext/>
      <w:numPr>
        <w:numId w:val="1"/>
      </w:numPr>
      <w:spacing w:after="120"/>
      <w:outlineLvl w:val="0"/>
    </w:pPr>
    <w:rPr>
      <w:b/>
      <w:bCs/>
      <w:lang w:val="hr-HR"/>
    </w:rPr>
  </w:style>
  <w:style w:type="paragraph" w:styleId="Heading2">
    <w:name w:val="heading 2"/>
    <w:basedOn w:val="Normal"/>
    <w:next w:val="Normal"/>
    <w:link w:val="Heading2Char"/>
    <w:qFormat/>
    <w:rsid w:val="00A57294"/>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120"/>
      <w:jc w:val="both"/>
      <w:outlineLvl w:val="1"/>
    </w:pPr>
    <w:rPr>
      <w:b/>
      <w:bCs/>
    </w:rPr>
  </w:style>
  <w:style w:type="paragraph" w:styleId="Heading3">
    <w:name w:val="heading 3"/>
    <w:basedOn w:val="Normal"/>
    <w:next w:val="Normal"/>
    <w:link w:val="Heading3Char"/>
    <w:qFormat/>
    <w:rsid w:val="00A57294"/>
    <w:pPr>
      <w:keepNext/>
      <w:numPr>
        <w:ilvl w:val="2"/>
        <w:numId w:val="1"/>
      </w:numPr>
      <w:spacing w:after="120"/>
      <w:jc w:val="center"/>
      <w:outlineLvl w:val="2"/>
    </w:pPr>
    <w:rPr>
      <w:b/>
      <w:bCs/>
      <w:lang w:val="en-US"/>
    </w:rPr>
  </w:style>
  <w:style w:type="paragraph" w:styleId="Heading4">
    <w:name w:val="heading 4"/>
    <w:basedOn w:val="Normal"/>
    <w:next w:val="Normal"/>
    <w:link w:val="Heading4Char"/>
    <w:qFormat/>
    <w:rsid w:val="00A57294"/>
    <w:pPr>
      <w:keepNext/>
      <w:numPr>
        <w:ilvl w:val="3"/>
        <w:numId w:val="1"/>
      </w:numPr>
      <w:spacing w:after="240"/>
      <w:outlineLvl w:val="3"/>
    </w:pPr>
    <w:rPr>
      <w:u w:val="single"/>
    </w:rPr>
  </w:style>
  <w:style w:type="paragraph" w:styleId="Heading5">
    <w:name w:val="heading 5"/>
    <w:basedOn w:val="Normal"/>
    <w:next w:val="Normal"/>
    <w:link w:val="Heading5Char"/>
    <w:qFormat/>
    <w:rsid w:val="00A57294"/>
    <w:pPr>
      <w:keepNext/>
      <w:numPr>
        <w:ilvl w:val="4"/>
        <w:numId w:val="1"/>
      </w:numPr>
      <w:outlineLvl w:val="4"/>
    </w:pPr>
    <w:rPr>
      <w:b/>
      <w:bCs/>
      <w:sz w:val="22"/>
      <w:szCs w:val="22"/>
    </w:rPr>
  </w:style>
  <w:style w:type="paragraph" w:styleId="Heading6">
    <w:name w:val="heading 6"/>
    <w:basedOn w:val="Normal"/>
    <w:next w:val="Normal"/>
    <w:link w:val="Heading6Char"/>
    <w:qFormat/>
    <w:rsid w:val="00A57294"/>
    <w:pPr>
      <w:keepNext/>
      <w:numPr>
        <w:ilvl w:val="5"/>
        <w:numId w:val="1"/>
      </w:numPr>
      <w:overflowPunct w:val="0"/>
      <w:autoSpaceDE w:val="0"/>
      <w:ind w:left="360" w:firstLine="0"/>
      <w:jc w:val="both"/>
      <w:textAlignment w:val="baseline"/>
      <w:outlineLvl w:val="5"/>
    </w:pPr>
    <w:rPr>
      <w:b/>
      <w:bCs/>
      <w:i/>
      <w:iCs/>
      <w:sz w:val="22"/>
      <w:szCs w:val="22"/>
      <w:u w:val="single"/>
    </w:rPr>
  </w:style>
  <w:style w:type="paragraph" w:styleId="Heading7">
    <w:name w:val="heading 7"/>
    <w:basedOn w:val="Normal"/>
    <w:next w:val="Normal"/>
    <w:link w:val="Heading7Char"/>
    <w:qFormat/>
    <w:rsid w:val="00A57294"/>
    <w:pPr>
      <w:keepNext/>
      <w:numPr>
        <w:ilvl w:val="6"/>
        <w:numId w:val="1"/>
      </w:numPr>
      <w:spacing w:after="120"/>
      <w:jc w:val="both"/>
      <w:outlineLvl w:val="6"/>
    </w:pPr>
    <w:rPr>
      <w:b/>
      <w:bCs/>
      <w:color w:val="000000"/>
      <w:sz w:val="22"/>
      <w:szCs w:val="22"/>
      <w:lang w:val="en-US"/>
    </w:rPr>
  </w:style>
  <w:style w:type="paragraph" w:styleId="Heading8">
    <w:name w:val="heading 8"/>
    <w:basedOn w:val="Normal"/>
    <w:next w:val="Normal"/>
    <w:link w:val="Heading8Char"/>
    <w:qFormat/>
    <w:rsid w:val="00A57294"/>
    <w:pPr>
      <w:keepNext/>
      <w:numPr>
        <w:ilvl w:val="7"/>
        <w:numId w:val="1"/>
      </w:numPr>
      <w:spacing w:after="120"/>
      <w:jc w:val="center"/>
      <w:outlineLvl w:val="7"/>
    </w:pPr>
    <w:rPr>
      <w:b/>
      <w:bCs/>
      <w:sz w:val="28"/>
      <w:szCs w:val="28"/>
      <w:lang w:val="en-US"/>
    </w:rPr>
  </w:style>
  <w:style w:type="paragraph" w:styleId="Heading9">
    <w:name w:val="heading 9"/>
    <w:basedOn w:val="Normal"/>
    <w:next w:val="Normal"/>
    <w:link w:val="Heading9Char"/>
    <w:qFormat/>
    <w:rsid w:val="00A57294"/>
    <w:pPr>
      <w:keepNext/>
      <w:numPr>
        <w:ilvl w:val="8"/>
        <w:numId w:val="1"/>
      </w:numPr>
      <w:ind w:left="0" w:right="23" w:firstLine="0"/>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294"/>
    <w:rPr>
      <w:rFonts w:ascii="Times New Roman" w:eastAsia="Times New Roman" w:hAnsi="Times New Roman" w:cs="Times New Roman"/>
      <w:b/>
      <w:bCs/>
      <w:sz w:val="24"/>
      <w:szCs w:val="24"/>
      <w:lang w:val="hr-HR" w:eastAsia="ar-SA"/>
    </w:rPr>
  </w:style>
  <w:style w:type="character" w:customStyle="1" w:styleId="Heading2Char">
    <w:name w:val="Heading 2 Char"/>
    <w:basedOn w:val="DefaultParagraphFont"/>
    <w:link w:val="Heading2"/>
    <w:rsid w:val="00A57294"/>
    <w:rPr>
      <w:rFonts w:ascii="Times New Roman" w:eastAsia="Times New Roman" w:hAnsi="Times New Roman" w:cs="Times New Roman"/>
      <w:b/>
      <w:bCs/>
      <w:sz w:val="24"/>
      <w:szCs w:val="24"/>
      <w:lang w:val="en-GB" w:eastAsia="ar-SA"/>
    </w:rPr>
  </w:style>
  <w:style w:type="character" w:customStyle="1" w:styleId="Heading3Char">
    <w:name w:val="Heading 3 Char"/>
    <w:basedOn w:val="DefaultParagraphFont"/>
    <w:link w:val="Heading3"/>
    <w:rsid w:val="00A57294"/>
    <w:rPr>
      <w:rFonts w:ascii="Times New Roman" w:eastAsia="Times New Roman" w:hAnsi="Times New Roman" w:cs="Times New Roman"/>
      <w:b/>
      <w:bCs/>
      <w:sz w:val="24"/>
      <w:szCs w:val="24"/>
      <w:lang w:eastAsia="ar-SA"/>
    </w:rPr>
  </w:style>
  <w:style w:type="character" w:customStyle="1" w:styleId="Heading4Char">
    <w:name w:val="Heading 4 Char"/>
    <w:basedOn w:val="DefaultParagraphFont"/>
    <w:link w:val="Heading4"/>
    <w:rsid w:val="00A57294"/>
    <w:rPr>
      <w:rFonts w:ascii="Times New Roman" w:eastAsia="Times New Roman" w:hAnsi="Times New Roman" w:cs="Times New Roman"/>
      <w:sz w:val="24"/>
      <w:szCs w:val="24"/>
      <w:u w:val="single"/>
      <w:lang w:val="en-GB" w:eastAsia="ar-SA"/>
    </w:rPr>
  </w:style>
  <w:style w:type="character" w:customStyle="1" w:styleId="Heading5Char">
    <w:name w:val="Heading 5 Char"/>
    <w:basedOn w:val="DefaultParagraphFont"/>
    <w:link w:val="Heading5"/>
    <w:rsid w:val="00A57294"/>
    <w:rPr>
      <w:rFonts w:ascii="Times New Roman" w:eastAsia="Times New Roman" w:hAnsi="Times New Roman" w:cs="Times New Roman"/>
      <w:b/>
      <w:bCs/>
      <w:lang w:val="en-GB" w:eastAsia="ar-SA"/>
    </w:rPr>
  </w:style>
  <w:style w:type="character" w:customStyle="1" w:styleId="Heading6Char">
    <w:name w:val="Heading 6 Char"/>
    <w:basedOn w:val="DefaultParagraphFont"/>
    <w:link w:val="Heading6"/>
    <w:rsid w:val="00A57294"/>
    <w:rPr>
      <w:rFonts w:ascii="Times New Roman" w:eastAsia="Times New Roman" w:hAnsi="Times New Roman" w:cs="Times New Roman"/>
      <w:b/>
      <w:bCs/>
      <w:i/>
      <w:iCs/>
      <w:u w:val="single"/>
      <w:lang w:val="en-GB" w:eastAsia="ar-SA"/>
    </w:rPr>
  </w:style>
  <w:style w:type="character" w:customStyle="1" w:styleId="Heading7Char">
    <w:name w:val="Heading 7 Char"/>
    <w:basedOn w:val="DefaultParagraphFont"/>
    <w:link w:val="Heading7"/>
    <w:rsid w:val="00A57294"/>
    <w:rPr>
      <w:rFonts w:ascii="Times New Roman" w:eastAsia="Times New Roman" w:hAnsi="Times New Roman" w:cs="Times New Roman"/>
      <w:b/>
      <w:bCs/>
      <w:color w:val="000000"/>
      <w:lang w:eastAsia="ar-SA"/>
    </w:rPr>
  </w:style>
  <w:style w:type="character" w:customStyle="1" w:styleId="Heading8Char">
    <w:name w:val="Heading 8 Char"/>
    <w:basedOn w:val="DefaultParagraphFont"/>
    <w:link w:val="Heading8"/>
    <w:rsid w:val="00A57294"/>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57294"/>
    <w:rPr>
      <w:rFonts w:ascii="Times New Roman" w:eastAsia="Times New Roman" w:hAnsi="Times New Roman" w:cs="Times New Roman"/>
      <w:b/>
      <w:bCs/>
      <w:color w:val="000000"/>
      <w:sz w:val="24"/>
      <w:szCs w:val="24"/>
      <w:lang w:val="en-GB" w:eastAsia="ar-SA"/>
    </w:rPr>
  </w:style>
  <w:style w:type="character" w:customStyle="1" w:styleId="Caractresdenotedebasdepage">
    <w:name w:val="Caractères de note de bas de page"/>
    <w:rsid w:val="00A57294"/>
    <w:rPr>
      <w:rFonts w:cs="Times New Roman"/>
      <w:vertAlign w:val="superscript"/>
    </w:rPr>
  </w:style>
  <w:style w:type="character" w:styleId="Hyperlink">
    <w:name w:val="Hyperlink"/>
    <w:uiPriority w:val="99"/>
    <w:rsid w:val="00A57294"/>
    <w:rPr>
      <w:rFonts w:cs="Times New Roman"/>
      <w:color w:val="0000FF"/>
      <w:u w:val="single"/>
    </w:rPr>
  </w:style>
  <w:style w:type="character" w:styleId="PageNumber">
    <w:name w:val="page number"/>
    <w:rsid w:val="00A57294"/>
    <w:rPr>
      <w:rFonts w:cs="Times New Roman"/>
    </w:rPr>
  </w:style>
  <w:style w:type="character" w:customStyle="1" w:styleId="Ancredenotedebasdepage">
    <w:name w:val="Ancre de note de bas de page"/>
    <w:rsid w:val="00A57294"/>
    <w:rPr>
      <w:vertAlign w:val="superscript"/>
    </w:rPr>
  </w:style>
  <w:style w:type="character" w:styleId="FootnoteReference">
    <w:name w:val="footnote reference"/>
    <w:uiPriority w:val="99"/>
    <w:rsid w:val="00A57294"/>
    <w:rPr>
      <w:vertAlign w:val="superscript"/>
    </w:rPr>
  </w:style>
  <w:style w:type="paragraph" w:styleId="FootnoteText">
    <w:name w:val="footnote text"/>
    <w:basedOn w:val="Normal"/>
    <w:link w:val="FootnoteTextChar1"/>
    <w:uiPriority w:val="99"/>
    <w:rsid w:val="00A57294"/>
    <w:pPr>
      <w:widowControl w:val="0"/>
      <w:tabs>
        <w:tab w:val="left" w:pos="-720"/>
      </w:tabs>
      <w:jc w:val="both"/>
    </w:pPr>
    <w:rPr>
      <w:rFonts w:ascii="Courier New" w:hAnsi="Courier New" w:cs="Courier New"/>
      <w:sz w:val="20"/>
      <w:szCs w:val="20"/>
    </w:rPr>
  </w:style>
  <w:style w:type="character" w:customStyle="1" w:styleId="FootnoteTextChar">
    <w:name w:val="Footnote Text Char"/>
    <w:basedOn w:val="DefaultParagraphFont"/>
    <w:uiPriority w:val="99"/>
    <w:semiHidden/>
    <w:rsid w:val="00A57294"/>
    <w:rPr>
      <w:rFonts w:ascii="Times New Roman" w:eastAsia="Times New Roman" w:hAnsi="Times New Roman" w:cs="Times New Roman"/>
      <w:sz w:val="20"/>
      <w:szCs w:val="20"/>
      <w:lang w:val="en-GB" w:eastAsia="ar-SA"/>
    </w:rPr>
  </w:style>
  <w:style w:type="paragraph" w:styleId="Header">
    <w:name w:val="header"/>
    <w:basedOn w:val="Normal"/>
    <w:link w:val="HeaderChar"/>
    <w:rsid w:val="00A57294"/>
    <w:pPr>
      <w:widowControl w:val="0"/>
      <w:tabs>
        <w:tab w:val="left" w:pos="0"/>
        <w:tab w:val="center" w:pos="4320"/>
        <w:tab w:val="right" w:pos="8640"/>
      </w:tabs>
      <w:jc w:val="both"/>
    </w:pPr>
    <w:rPr>
      <w:rFonts w:ascii="Times Roman" w:hAnsi="Times Roman" w:cs="Times Roman"/>
    </w:rPr>
  </w:style>
  <w:style w:type="character" w:customStyle="1" w:styleId="HeaderChar">
    <w:name w:val="Header Char"/>
    <w:basedOn w:val="DefaultParagraphFont"/>
    <w:link w:val="Header"/>
    <w:rsid w:val="00A57294"/>
    <w:rPr>
      <w:rFonts w:ascii="Times Roman" w:eastAsia="Times New Roman" w:hAnsi="Times Roman" w:cs="Times Roman"/>
      <w:sz w:val="24"/>
      <w:szCs w:val="24"/>
      <w:lang w:val="en-GB" w:eastAsia="ar-SA"/>
    </w:rPr>
  </w:style>
  <w:style w:type="paragraph" w:styleId="Footer">
    <w:name w:val="footer"/>
    <w:basedOn w:val="Normal"/>
    <w:link w:val="FooterChar1"/>
    <w:uiPriority w:val="99"/>
    <w:rsid w:val="00A57294"/>
    <w:pPr>
      <w:tabs>
        <w:tab w:val="center" w:pos="4320"/>
        <w:tab w:val="right" w:pos="8640"/>
      </w:tabs>
    </w:pPr>
    <w:rPr>
      <w:sz w:val="22"/>
      <w:szCs w:val="22"/>
    </w:rPr>
  </w:style>
  <w:style w:type="character" w:customStyle="1" w:styleId="FooterChar">
    <w:name w:val="Footer Char"/>
    <w:basedOn w:val="DefaultParagraphFont"/>
    <w:uiPriority w:val="99"/>
    <w:semiHidden/>
    <w:rsid w:val="00A57294"/>
    <w:rPr>
      <w:rFonts w:ascii="Times New Roman" w:eastAsia="Times New Roman" w:hAnsi="Times New Roman" w:cs="Times New Roman"/>
      <w:sz w:val="24"/>
      <w:szCs w:val="24"/>
      <w:lang w:val="en-GB" w:eastAsia="ar-SA"/>
    </w:rPr>
  </w:style>
  <w:style w:type="character" w:customStyle="1" w:styleId="FootnoteTextChar1">
    <w:name w:val="Footnote Text Char1"/>
    <w:link w:val="FootnoteText"/>
    <w:uiPriority w:val="99"/>
    <w:rsid w:val="00A57294"/>
    <w:rPr>
      <w:rFonts w:ascii="Courier New" w:eastAsia="Times New Roman" w:hAnsi="Courier New" w:cs="Courier New"/>
      <w:sz w:val="20"/>
      <w:szCs w:val="20"/>
      <w:lang w:val="en-GB" w:eastAsia="ar-SA"/>
    </w:rPr>
  </w:style>
  <w:style w:type="table" w:styleId="TableGrid">
    <w:name w:val="Table Grid"/>
    <w:basedOn w:val="TableNormal"/>
    <w:rsid w:val="00A57294"/>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link w:val="Footer"/>
    <w:uiPriority w:val="99"/>
    <w:rsid w:val="00A57294"/>
    <w:rPr>
      <w:rFonts w:ascii="Times New Roman" w:eastAsia="Times New Roman" w:hAnsi="Times New Roman" w:cs="Times New Roman"/>
      <w:lang w:val="en-GB" w:eastAsia="ar-SA"/>
    </w:rPr>
  </w:style>
  <w:style w:type="character" w:customStyle="1" w:styleId="Info">
    <w:name w:val="Info"/>
    <w:rsid w:val="00A57294"/>
  </w:style>
  <w:style w:type="character" w:styleId="LineNumber">
    <w:name w:val="line number"/>
    <w:basedOn w:val="DefaultParagraphFont"/>
    <w:uiPriority w:val="99"/>
    <w:semiHidden/>
    <w:unhideWhenUsed/>
    <w:rsid w:val="00A57294"/>
  </w:style>
  <w:style w:type="paragraph" w:styleId="CommentText">
    <w:name w:val="annotation text"/>
    <w:basedOn w:val="Normal"/>
    <w:link w:val="CommentTextChar1"/>
    <w:rsid w:val="008B2544"/>
    <w:rPr>
      <w:sz w:val="20"/>
      <w:szCs w:val="20"/>
    </w:rPr>
  </w:style>
  <w:style w:type="character" w:customStyle="1" w:styleId="CommentTextChar">
    <w:name w:val="Comment Text Char"/>
    <w:basedOn w:val="DefaultParagraphFont"/>
    <w:uiPriority w:val="99"/>
    <w:semiHidden/>
    <w:rsid w:val="008B2544"/>
    <w:rPr>
      <w:rFonts w:ascii="Times New Roman" w:eastAsia="Times New Roman" w:hAnsi="Times New Roman" w:cs="Times New Roman"/>
      <w:sz w:val="20"/>
      <w:szCs w:val="20"/>
      <w:lang w:val="en-GB" w:eastAsia="ar-SA"/>
    </w:rPr>
  </w:style>
  <w:style w:type="character" w:customStyle="1" w:styleId="CommentTextChar1">
    <w:name w:val="Comment Text Char1"/>
    <w:basedOn w:val="DefaultParagraphFont"/>
    <w:link w:val="CommentText"/>
    <w:rsid w:val="008B2544"/>
    <w:rPr>
      <w:rFonts w:ascii="Times New Roman" w:eastAsia="Times New Roman" w:hAnsi="Times New Roman" w:cs="Times New Roman"/>
      <w:sz w:val="20"/>
      <w:szCs w:val="20"/>
      <w:lang w:val="en-GB" w:eastAsia="ar-SA"/>
    </w:rPr>
  </w:style>
  <w:style w:type="paragraph" w:styleId="Bibliography">
    <w:name w:val="Bibliography"/>
    <w:basedOn w:val="Normal"/>
    <w:next w:val="Normal"/>
    <w:uiPriority w:val="37"/>
    <w:unhideWhenUsed/>
    <w:rsid w:val="00A94389"/>
    <w:pPr>
      <w:spacing w:after="240"/>
      <w:ind w:left="720" w:hanging="720"/>
    </w:pPr>
  </w:style>
  <w:style w:type="character" w:styleId="CommentReference">
    <w:name w:val="annotation reference"/>
    <w:basedOn w:val="DefaultParagraphFont"/>
    <w:uiPriority w:val="99"/>
    <w:unhideWhenUsed/>
    <w:rsid w:val="003751A9"/>
    <w:rPr>
      <w:sz w:val="16"/>
      <w:szCs w:val="16"/>
    </w:rPr>
  </w:style>
  <w:style w:type="paragraph" w:styleId="CommentSubject">
    <w:name w:val="annotation subject"/>
    <w:basedOn w:val="CommentText"/>
    <w:next w:val="CommentText"/>
    <w:link w:val="CommentSubjectChar"/>
    <w:uiPriority w:val="99"/>
    <w:semiHidden/>
    <w:unhideWhenUsed/>
    <w:rsid w:val="003751A9"/>
    <w:rPr>
      <w:b/>
      <w:bCs/>
    </w:rPr>
  </w:style>
  <w:style w:type="character" w:customStyle="1" w:styleId="CommentSubjectChar">
    <w:name w:val="Comment Subject Char"/>
    <w:basedOn w:val="CommentTextChar1"/>
    <w:link w:val="CommentSubject"/>
    <w:uiPriority w:val="99"/>
    <w:semiHidden/>
    <w:rsid w:val="003751A9"/>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375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9"/>
    <w:rPr>
      <w:rFonts w:ascii="Segoe UI" w:eastAsia="Times New Roman" w:hAnsi="Segoe UI" w:cs="Segoe UI"/>
      <w:sz w:val="18"/>
      <w:szCs w:val="18"/>
      <w:lang w:val="en-GB" w:eastAsia="ar-SA"/>
    </w:rPr>
  </w:style>
  <w:style w:type="character" w:styleId="EndnoteReference">
    <w:name w:val="endnote reference"/>
    <w:basedOn w:val="DefaultParagraphFont"/>
    <w:uiPriority w:val="99"/>
    <w:semiHidden/>
    <w:unhideWhenUsed/>
    <w:rsid w:val="00B91E0B"/>
    <w:rPr>
      <w:vertAlign w:val="superscript"/>
    </w:rPr>
  </w:style>
  <w:style w:type="character" w:styleId="UnresolvedMention">
    <w:name w:val="Unresolved Mention"/>
    <w:basedOn w:val="DefaultParagraphFont"/>
    <w:uiPriority w:val="99"/>
    <w:semiHidden/>
    <w:unhideWhenUsed/>
    <w:rsid w:val="005454A8"/>
    <w:rPr>
      <w:color w:val="605E5C"/>
      <w:shd w:val="clear" w:color="auto" w:fill="E1DFDD"/>
    </w:rPr>
  </w:style>
  <w:style w:type="character" w:styleId="Emphasis">
    <w:name w:val="Emphasis"/>
    <w:basedOn w:val="DefaultParagraphFont"/>
    <w:uiPriority w:val="20"/>
    <w:qFormat/>
    <w:rsid w:val="00A80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2969">
      <w:bodyDiv w:val="1"/>
      <w:marLeft w:val="0"/>
      <w:marRight w:val="0"/>
      <w:marTop w:val="0"/>
      <w:marBottom w:val="0"/>
      <w:divBdr>
        <w:top w:val="none" w:sz="0" w:space="0" w:color="auto"/>
        <w:left w:val="none" w:sz="0" w:space="0" w:color="auto"/>
        <w:bottom w:val="none" w:sz="0" w:space="0" w:color="auto"/>
        <w:right w:val="none" w:sz="0" w:space="0" w:color="auto"/>
      </w:divBdr>
    </w:div>
    <w:div w:id="666248776">
      <w:bodyDiv w:val="1"/>
      <w:marLeft w:val="0"/>
      <w:marRight w:val="0"/>
      <w:marTop w:val="0"/>
      <w:marBottom w:val="0"/>
      <w:divBdr>
        <w:top w:val="none" w:sz="0" w:space="0" w:color="auto"/>
        <w:left w:val="none" w:sz="0" w:space="0" w:color="auto"/>
        <w:bottom w:val="none" w:sz="0" w:space="0" w:color="auto"/>
        <w:right w:val="none" w:sz="0" w:space="0" w:color="auto"/>
      </w:divBdr>
    </w:div>
    <w:div w:id="781992773">
      <w:bodyDiv w:val="1"/>
      <w:marLeft w:val="0"/>
      <w:marRight w:val="0"/>
      <w:marTop w:val="0"/>
      <w:marBottom w:val="0"/>
      <w:divBdr>
        <w:top w:val="none" w:sz="0" w:space="0" w:color="auto"/>
        <w:left w:val="none" w:sz="0" w:space="0" w:color="auto"/>
        <w:bottom w:val="none" w:sz="0" w:space="0" w:color="auto"/>
        <w:right w:val="none" w:sz="0" w:space="0" w:color="auto"/>
      </w:divBdr>
    </w:div>
    <w:div w:id="911893471">
      <w:bodyDiv w:val="1"/>
      <w:marLeft w:val="0"/>
      <w:marRight w:val="0"/>
      <w:marTop w:val="0"/>
      <w:marBottom w:val="0"/>
      <w:divBdr>
        <w:top w:val="none" w:sz="0" w:space="0" w:color="auto"/>
        <w:left w:val="none" w:sz="0" w:space="0" w:color="auto"/>
        <w:bottom w:val="none" w:sz="0" w:space="0" w:color="auto"/>
        <w:right w:val="none" w:sz="0" w:space="0" w:color="auto"/>
      </w:divBdr>
    </w:div>
    <w:div w:id="1287354760">
      <w:bodyDiv w:val="1"/>
      <w:marLeft w:val="0"/>
      <w:marRight w:val="0"/>
      <w:marTop w:val="0"/>
      <w:marBottom w:val="0"/>
      <w:divBdr>
        <w:top w:val="none" w:sz="0" w:space="0" w:color="auto"/>
        <w:left w:val="none" w:sz="0" w:space="0" w:color="auto"/>
        <w:bottom w:val="none" w:sz="0" w:space="0" w:color="auto"/>
        <w:right w:val="none" w:sz="0" w:space="0" w:color="auto"/>
      </w:divBdr>
      <w:divsChild>
        <w:div w:id="1867209943">
          <w:marLeft w:val="480"/>
          <w:marRight w:val="0"/>
          <w:marTop w:val="0"/>
          <w:marBottom w:val="0"/>
          <w:divBdr>
            <w:top w:val="none" w:sz="0" w:space="0" w:color="auto"/>
            <w:left w:val="none" w:sz="0" w:space="0" w:color="auto"/>
            <w:bottom w:val="none" w:sz="0" w:space="0" w:color="auto"/>
            <w:right w:val="none" w:sz="0" w:space="0" w:color="auto"/>
          </w:divBdr>
          <w:divsChild>
            <w:div w:id="3398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1979">
      <w:bodyDiv w:val="1"/>
      <w:marLeft w:val="0"/>
      <w:marRight w:val="0"/>
      <w:marTop w:val="0"/>
      <w:marBottom w:val="0"/>
      <w:divBdr>
        <w:top w:val="none" w:sz="0" w:space="0" w:color="auto"/>
        <w:left w:val="none" w:sz="0" w:space="0" w:color="auto"/>
        <w:bottom w:val="none" w:sz="0" w:space="0" w:color="auto"/>
        <w:right w:val="none" w:sz="0" w:space="0" w:color="auto"/>
      </w:divBdr>
    </w:div>
    <w:div w:id="17922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orestry/urbanforestry/87025/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fsc.org/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fsc.org/download.fsc-std-01-001-v5-0-revised-principles-and-criteria-for-forest-stewardship.a-1780.pdf" TargetMode="External"/><Relationship Id="rId1" Type="http://schemas.openxmlformats.org/officeDocument/2006/relationships/hyperlink" Target="https://www.cbd.int/doc/publications/cbd-ts-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00EB-EF69-B14F-9427-18F8D8AA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40482</Words>
  <Characters>230751</Characters>
  <Application>Microsoft Office Word</Application>
  <DocSecurity>0</DocSecurity>
  <Lines>1922</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dc:creator>
  <cp:keywords/>
  <dc:description/>
  <cp:lastModifiedBy>Giuseppe B</cp:lastModifiedBy>
  <cp:revision>6</cp:revision>
  <dcterms:created xsi:type="dcterms:W3CDTF">2020-09-04T16:08:00Z</dcterms:created>
  <dcterms:modified xsi:type="dcterms:W3CDTF">2020-09-07T21:23:00Z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id="7SdbMbIW"/&gt;&lt;style id="http://www.zotero.org/styles/springer-basic-author-date-no-et-al" hasBibliography="1" bibliographyStyleHasBeenSet="1"/&gt;&lt;prefs&gt;&lt;pref name="fieldType" value="Field"/&gt;&lt;/prefs&gt;&lt;</vt:lpwstr>
  </property>
  <property fmtid="{D5CDD505-2E9C-101B-9397-08002B2CF9AE}" pid="3" name="ZOTERO_PREF_2">
    <vt:lpwstr>/data&gt;</vt:lpwstr>
  </property>
</Properties>
</file>