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B4" w:rsidRDefault="00260618">
      <w:pPr>
        <w:jc w:val="both"/>
        <w:rPr>
          <w:sz w:val="23"/>
          <w:szCs w:val="23"/>
        </w:rPr>
      </w:pPr>
      <w:bookmarkStart w:id="0" w:name="_GoBack"/>
      <w:r>
        <w:rPr>
          <w:b/>
          <w:noProof/>
          <w:sz w:val="23"/>
          <w:szCs w:val="23"/>
        </w:rPr>
        <w:drawing>
          <wp:inline distT="0" distB="0" distL="0" distR="0">
            <wp:extent cx="4638675" cy="71151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9054" cy="7115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b/>
          <w:sz w:val="23"/>
          <w:szCs w:val="23"/>
        </w:rPr>
        <w:t xml:space="preserve">Supplementary File 6. </w:t>
      </w:r>
      <w:r>
        <w:rPr>
          <w:sz w:val="23"/>
          <w:szCs w:val="23"/>
        </w:rPr>
        <w:t>Categorical representation of the cumulated costs caused by invasive alien species in metropolitan France and French overseas over the period 1993-2018 per (a) activity sectors, (b) cost types, and (c) taxonomic groups. Pie charts show the cost contributio</w:t>
      </w:r>
      <w:r>
        <w:rPr>
          <w:sz w:val="23"/>
          <w:szCs w:val="23"/>
        </w:rPr>
        <w:t>n of alien invasive species to the different categories; inner circle shows information based on all costs (i.e. observed and potential costs), whereas the outer circle restricts the information to the costliest invaders (i.e. observed costs &gt; 1 US$ millio</w:t>
      </w:r>
      <w:r>
        <w:rPr>
          <w:sz w:val="23"/>
          <w:szCs w:val="23"/>
        </w:rPr>
        <w:t>n) from France (</w:t>
      </w:r>
      <w:r>
        <w:rPr>
          <w:i/>
          <w:sz w:val="23"/>
          <w:szCs w:val="23"/>
        </w:rPr>
        <w:t>Aedes</w:t>
      </w:r>
      <w:r>
        <w:rPr>
          <w:sz w:val="23"/>
          <w:szCs w:val="23"/>
        </w:rPr>
        <w:t xml:space="preserve"> spp., </w:t>
      </w:r>
      <w:r>
        <w:rPr>
          <w:i/>
          <w:sz w:val="23"/>
          <w:szCs w:val="23"/>
        </w:rPr>
        <w:t>Ambrosia</w:t>
      </w:r>
      <w:r>
        <w:rPr>
          <w:sz w:val="23"/>
          <w:szCs w:val="23"/>
        </w:rPr>
        <w:t xml:space="preserve"> spp., </w:t>
      </w:r>
      <w:proofErr w:type="spellStart"/>
      <w:r>
        <w:rPr>
          <w:i/>
          <w:sz w:val="23"/>
          <w:szCs w:val="23"/>
        </w:rPr>
        <w:t>Lagorasiphon</w:t>
      </w:r>
      <w:proofErr w:type="spellEnd"/>
      <w:r>
        <w:rPr>
          <w:sz w:val="23"/>
          <w:szCs w:val="23"/>
        </w:rPr>
        <w:t xml:space="preserve"> major, </w:t>
      </w:r>
      <w:proofErr w:type="spellStart"/>
      <w:r>
        <w:rPr>
          <w:i/>
          <w:sz w:val="23"/>
          <w:szCs w:val="23"/>
        </w:rPr>
        <w:t>Lithobates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catesbeianus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sz w:val="23"/>
          <w:szCs w:val="23"/>
        </w:rPr>
        <w:t>Ludwigia</w:t>
      </w:r>
      <w:proofErr w:type="spellEnd"/>
      <w:r>
        <w:rPr>
          <w:sz w:val="23"/>
          <w:szCs w:val="23"/>
        </w:rPr>
        <w:t xml:space="preserve"> spp., </w:t>
      </w:r>
      <w:proofErr w:type="spellStart"/>
      <w:r>
        <w:rPr>
          <w:i/>
          <w:color w:val="000000"/>
          <w:sz w:val="23"/>
          <w:szCs w:val="23"/>
        </w:rPr>
        <w:t>Procambarus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clarkii</w:t>
      </w:r>
      <w:proofErr w:type="spellEnd"/>
      <w:r>
        <w:rPr>
          <w:color w:val="000000"/>
          <w:sz w:val="23"/>
          <w:szCs w:val="23"/>
        </w:rPr>
        <w:t xml:space="preserve">, </w:t>
      </w:r>
      <w:r>
        <w:rPr>
          <w:i/>
          <w:color w:val="000000"/>
          <w:sz w:val="23"/>
          <w:szCs w:val="23"/>
        </w:rPr>
        <w:t xml:space="preserve">Rattus </w:t>
      </w:r>
      <w:r>
        <w:rPr>
          <w:color w:val="000000"/>
          <w:sz w:val="23"/>
          <w:szCs w:val="23"/>
        </w:rPr>
        <w:t xml:space="preserve">spp., </w:t>
      </w:r>
      <w:proofErr w:type="spellStart"/>
      <w:r>
        <w:rPr>
          <w:i/>
          <w:color w:val="000000"/>
          <w:sz w:val="23"/>
          <w:szCs w:val="23"/>
        </w:rPr>
        <w:t>Reynoutria</w:t>
      </w:r>
      <w:proofErr w:type="spellEnd"/>
      <w:r>
        <w:rPr>
          <w:color w:val="000000"/>
          <w:sz w:val="23"/>
          <w:szCs w:val="23"/>
        </w:rPr>
        <w:t xml:space="preserve"> spp., </w:t>
      </w:r>
      <w:proofErr w:type="spellStart"/>
      <w:r>
        <w:rPr>
          <w:i/>
          <w:color w:val="000000"/>
          <w:sz w:val="23"/>
          <w:szCs w:val="23"/>
        </w:rPr>
        <w:t>Rusa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timorensis</w:t>
      </w:r>
      <w:proofErr w:type="spellEnd"/>
      <w:r>
        <w:rPr>
          <w:color w:val="000000"/>
          <w:sz w:val="23"/>
          <w:szCs w:val="23"/>
        </w:rPr>
        <w:t xml:space="preserve">, </w:t>
      </w:r>
      <w:r>
        <w:rPr>
          <w:i/>
          <w:color w:val="000000"/>
          <w:sz w:val="23"/>
          <w:szCs w:val="23"/>
        </w:rPr>
        <w:t xml:space="preserve">Vespa </w:t>
      </w:r>
      <w:proofErr w:type="spellStart"/>
      <w:r>
        <w:rPr>
          <w:i/>
          <w:color w:val="000000"/>
          <w:sz w:val="23"/>
          <w:szCs w:val="23"/>
        </w:rPr>
        <w:t>velutina</w:t>
      </w:r>
      <w:proofErr w:type="spellEnd"/>
      <w:r>
        <w:rPr>
          <w:i/>
          <w:color w:val="000000"/>
          <w:sz w:val="23"/>
          <w:szCs w:val="23"/>
        </w:rPr>
        <w:t xml:space="preserve">, </w:t>
      </w:r>
      <w:proofErr w:type="spellStart"/>
      <w:r>
        <w:rPr>
          <w:i/>
          <w:color w:val="000000"/>
          <w:sz w:val="23"/>
          <w:szCs w:val="23"/>
        </w:rPr>
        <w:t>Felis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catus</w:t>
      </w:r>
      <w:proofErr w:type="spellEnd"/>
      <w:r>
        <w:rPr>
          <w:i/>
          <w:color w:val="000000"/>
          <w:sz w:val="23"/>
          <w:szCs w:val="23"/>
        </w:rPr>
        <w:t xml:space="preserve">, </w:t>
      </w:r>
      <w:proofErr w:type="spellStart"/>
      <w:r>
        <w:rPr>
          <w:i/>
          <w:color w:val="000000"/>
          <w:sz w:val="23"/>
          <w:szCs w:val="23"/>
        </w:rPr>
        <w:t>Baccharis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halimifolia</w:t>
      </w:r>
      <w:proofErr w:type="spellEnd"/>
      <w:r>
        <w:rPr>
          <w:color w:val="000000"/>
          <w:sz w:val="23"/>
          <w:szCs w:val="23"/>
        </w:rPr>
        <w:t>) is presented in the surrounding c</w:t>
      </w:r>
      <w:r>
        <w:rPr>
          <w:color w:val="000000"/>
          <w:sz w:val="23"/>
          <w:szCs w:val="23"/>
        </w:rPr>
        <w:t>ircle.</w:t>
      </w:r>
    </w:p>
    <w:sectPr w:rsidR="00B40FB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B4"/>
    <w:rsid w:val="00260618"/>
    <w:rsid w:val="00B4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880C3-AD64-4145-A253-22627C2E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105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35B4"/>
    <w:pPr>
      <w:keepNext/>
      <w:keepLines/>
      <w:spacing w:before="40" w:after="0" w:line="256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lang w:val="fr-FR" w:eastAsia="en-US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0E35B4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2371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237105"/>
  </w:style>
  <w:style w:type="paragraph" w:styleId="Pieddepage">
    <w:name w:val="footer"/>
    <w:basedOn w:val="Normal"/>
    <w:link w:val="PieddepageCar"/>
    <w:uiPriority w:val="99"/>
    <w:unhideWhenUsed/>
    <w:rsid w:val="002371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710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eElwwFFyPBOAWngxSB73mSZSw==">AMUW2mU3jRXxIEPgNuGRXrlfgjUXr1tdL4rWMq58DTLGQmcI3jYa+p2iXAMhy4sdnSfPGwSPAnXjkBQGX1d5JeE76RBhlPX0DYAQAuFT6LaK2M0bt1x4LFQ=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Eléna Manfrini</dc:creator>
  <cp:lastModifiedBy>RENAULT David</cp:lastModifiedBy>
  <cp:revision>2</cp:revision>
  <dcterms:created xsi:type="dcterms:W3CDTF">2021-02-11T14:15:00Z</dcterms:created>
  <dcterms:modified xsi:type="dcterms:W3CDTF">2021-02-17T11:06:00Z</dcterms:modified>
</cp:coreProperties>
</file>