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C4DF" w14:textId="77777777" w:rsidR="00277DAC" w:rsidRPr="00E146E9" w:rsidRDefault="00277DAC" w:rsidP="00277DAC">
      <w:pPr>
        <w:spacing w:line="276" w:lineRule="auto"/>
        <w:jc w:val="both"/>
        <w:rPr>
          <w:bCs/>
          <w:iCs/>
          <w:color w:val="000000" w:themeColor="text1"/>
          <w:sz w:val="16"/>
          <w:szCs w:val="16"/>
        </w:rPr>
      </w:pPr>
      <w:r w:rsidRPr="00E146E9">
        <w:rPr>
          <w:b/>
          <w:color w:val="000000" w:themeColor="text1"/>
          <w:sz w:val="16"/>
          <w:szCs w:val="16"/>
        </w:rPr>
        <w:t xml:space="preserve">Title: </w:t>
      </w:r>
      <w:r w:rsidRPr="00E146E9">
        <w:rPr>
          <w:bCs/>
          <w:color w:val="000000" w:themeColor="text1"/>
          <w:sz w:val="16"/>
          <w:szCs w:val="16"/>
        </w:rPr>
        <w:t>Comparing Field-Based Management Approaches for Invasive Winter Heliotrope (</w:t>
      </w:r>
      <w:r w:rsidRPr="00E146E9">
        <w:rPr>
          <w:bCs/>
          <w:i/>
          <w:color w:val="000000" w:themeColor="text1"/>
          <w:sz w:val="16"/>
          <w:szCs w:val="16"/>
        </w:rPr>
        <w:t>Petasites pyrenaicus</w:t>
      </w:r>
      <w:r w:rsidRPr="00E146E9">
        <w:rPr>
          <w:bCs/>
          <w:iCs/>
          <w:color w:val="000000" w:themeColor="text1"/>
          <w:sz w:val="16"/>
          <w:szCs w:val="16"/>
        </w:rPr>
        <w:t>: Asteraceae)</w:t>
      </w:r>
    </w:p>
    <w:p w14:paraId="0C354E12" w14:textId="77777777" w:rsidR="00277DAC" w:rsidRPr="00E146E9" w:rsidRDefault="00277DAC" w:rsidP="00277DAC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E146E9">
        <w:rPr>
          <w:b/>
          <w:color w:val="000000" w:themeColor="text1"/>
          <w:sz w:val="16"/>
          <w:szCs w:val="16"/>
        </w:rPr>
        <w:t xml:space="preserve">Journal: </w:t>
      </w:r>
      <w:r>
        <w:rPr>
          <w:color w:val="000000" w:themeColor="text1"/>
          <w:sz w:val="16"/>
          <w:szCs w:val="16"/>
        </w:rPr>
        <w:t>NeoBiota</w:t>
      </w:r>
    </w:p>
    <w:p w14:paraId="7400BEB6" w14:textId="77777777" w:rsidR="00277DAC" w:rsidRPr="004E48AD" w:rsidRDefault="00277DAC" w:rsidP="00277DAC">
      <w:pPr>
        <w:spacing w:line="276" w:lineRule="auto"/>
        <w:jc w:val="both"/>
        <w:rPr>
          <w:bCs/>
          <w:color w:val="000000" w:themeColor="text1"/>
          <w:sz w:val="16"/>
          <w:szCs w:val="16"/>
        </w:rPr>
      </w:pPr>
      <w:r w:rsidRPr="00E146E9">
        <w:rPr>
          <w:b/>
          <w:color w:val="000000" w:themeColor="text1"/>
          <w:sz w:val="16"/>
          <w:szCs w:val="16"/>
        </w:rPr>
        <w:t xml:space="preserve">Authors: </w:t>
      </w:r>
      <w:r w:rsidRPr="00E146E9">
        <w:rPr>
          <w:bCs/>
          <w:color w:val="000000" w:themeColor="text1"/>
          <w:sz w:val="16"/>
          <w:szCs w:val="16"/>
        </w:rPr>
        <w:t>Daniel Jones</w:t>
      </w:r>
      <w:r w:rsidRPr="00E146E9">
        <w:rPr>
          <w:bCs/>
          <w:color w:val="000000" w:themeColor="text1"/>
          <w:sz w:val="16"/>
          <w:szCs w:val="16"/>
          <w:vertAlign w:val="superscript"/>
        </w:rPr>
        <w:t>1,2</w:t>
      </w:r>
      <w:r w:rsidRPr="00E146E9">
        <w:rPr>
          <w:bCs/>
          <w:color w:val="000000" w:themeColor="text1"/>
          <w:sz w:val="16"/>
          <w:szCs w:val="16"/>
        </w:rPr>
        <w:t>, Mike S. Fowler</w:t>
      </w:r>
      <w:r w:rsidRPr="00E146E9">
        <w:rPr>
          <w:bCs/>
          <w:color w:val="000000" w:themeColor="text1"/>
          <w:sz w:val="16"/>
          <w:szCs w:val="16"/>
          <w:vertAlign w:val="superscript"/>
        </w:rPr>
        <w:t>1</w:t>
      </w:r>
      <w:r w:rsidRPr="00E146E9">
        <w:rPr>
          <w:bCs/>
          <w:color w:val="000000" w:themeColor="text1"/>
          <w:sz w:val="16"/>
          <w:szCs w:val="16"/>
        </w:rPr>
        <w:t>, Sophie Hocking</w:t>
      </w:r>
      <w:r w:rsidRPr="00E146E9">
        <w:rPr>
          <w:bCs/>
          <w:color w:val="000000" w:themeColor="text1"/>
          <w:sz w:val="16"/>
          <w:szCs w:val="16"/>
          <w:vertAlign w:val="superscript"/>
        </w:rPr>
        <w:t>1</w:t>
      </w:r>
      <w:r>
        <w:rPr>
          <w:bCs/>
          <w:color w:val="000000" w:themeColor="text1"/>
          <w:sz w:val="16"/>
          <w:szCs w:val="16"/>
        </w:rPr>
        <w:t xml:space="preserve"> and </w:t>
      </w:r>
      <w:r w:rsidRPr="00E146E9">
        <w:rPr>
          <w:bCs/>
          <w:color w:val="000000" w:themeColor="text1"/>
          <w:sz w:val="16"/>
          <w:szCs w:val="16"/>
        </w:rPr>
        <w:t>Daniel Eastwood</w:t>
      </w:r>
      <w:r w:rsidRPr="00E146E9">
        <w:rPr>
          <w:bCs/>
          <w:color w:val="000000" w:themeColor="text1"/>
          <w:sz w:val="16"/>
          <w:szCs w:val="16"/>
          <w:vertAlign w:val="superscript"/>
        </w:rPr>
        <w:t>1</w:t>
      </w:r>
    </w:p>
    <w:p w14:paraId="5BA13278" w14:textId="77777777" w:rsidR="00277DAC" w:rsidRPr="00E146E9" w:rsidRDefault="00277DAC" w:rsidP="00277DAC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E146E9">
        <w:rPr>
          <w:color w:val="000000" w:themeColor="text1"/>
          <w:sz w:val="16"/>
          <w:szCs w:val="16"/>
          <w:vertAlign w:val="superscript"/>
        </w:rPr>
        <w:t>1</w:t>
      </w:r>
      <w:r w:rsidRPr="00E146E9">
        <w:rPr>
          <w:color w:val="000000" w:themeColor="text1"/>
          <w:sz w:val="16"/>
          <w:szCs w:val="16"/>
        </w:rPr>
        <w:t>Department of Biosciences, Swansea University, UK</w:t>
      </w:r>
    </w:p>
    <w:p w14:paraId="521A043A" w14:textId="77777777" w:rsidR="00277DAC" w:rsidRPr="00EF5E96" w:rsidRDefault="00277DAC" w:rsidP="00277DAC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E146E9">
        <w:rPr>
          <w:color w:val="000000" w:themeColor="text1"/>
          <w:sz w:val="16"/>
          <w:szCs w:val="16"/>
          <w:vertAlign w:val="superscript"/>
        </w:rPr>
        <w:t>2</w:t>
      </w:r>
      <w:r w:rsidRPr="00E146E9">
        <w:rPr>
          <w:color w:val="000000" w:themeColor="text1"/>
          <w:sz w:val="16"/>
          <w:szCs w:val="16"/>
        </w:rPr>
        <w:t>Advanced Invasives Ltd, Cardiff, UK</w:t>
      </w:r>
    </w:p>
    <w:p w14:paraId="4B210EB8" w14:textId="77777777" w:rsidR="00277DAC" w:rsidRPr="00EF5E96" w:rsidRDefault="00277DAC" w:rsidP="00277DAC">
      <w:pPr>
        <w:spacing w:line="276" w:lineRule="auto"/>
        <w:jc w:val="both"/>
        <w:rPr>
          <w:b/>
          <w:color w:val="000000" w:themeColor="text1"/>
          <w:sz w:val="16"/>
          <w:szCs w:val="16"/>
        </w:rPr>
      </w:pPr>
      <w:r w:rsidRPr="00EF5E96">
        <w:rPr>
          <w:b/>
          <w:color w:val="000000" w:themeColor="text1"/>
          <w:sz w:val="16"/>
          <w:szCs w:val="16"/>
        </w:rPr>
        <w:t xml:space="preserve">Corresponding author email address: </w:t>
      </w:r>
      <w:r w:rsidRPr="00EF5E96">
        <w:rPr>
          <w:color w:val="000000" w:themeColor="text1"/>
          <w:sz w:val="16"/>
          <w:szCs w:val="16"/>
        </w:rPr>
        <w:t>daniel.ll.jones@gmail.com</w:t>
      </w:r>
    </w:p>
    <w:p w14:paraId="717FB326" w14:textId="77777777" w:rsidR="00AF599D" w:rsidRDefault="00AF599D" w:rsidP="00975BF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2BD4D9A2" w14:textId="635512B5" w:rsidR="00A715B7" w:rsidRPr="006A3A56" w:rsidRDefault="00DA5AD8" w:rsidP="00975BF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Supplementary resource</w:t>
      </w:r>
      <w:r>
        <w:rPr>
          <w:b/>
          <w:sz w:val="22"/>
          <w:szCs w:val="22"/>
        </w:rPr>
        <w:t xml:space="preserve"> </w:t>
      </w:r>
      <w:r w:rsidR="004E48AD">
        <w:rPr>
          <w:b/>
          <w:sz w:val="22"/>
          <w:szCs w:val="22"/>
        </w:rPr>
        <w:t>1</w:t>
      </w:r>
      <w:r w:rsidR="001A424E">
        <w:rPr>
          <w:b/>
          <w:sz w:val="22"/>
          <w:szCs w:val="22"/>
        </w:rPr>
        <w:t>:</w:t>
      </w:r>
      <w:r w:rsidR="00A715B7" w:rsidRPr="006A3A56">
        <w:rPr>
          <w:b/>
          <w:sz w:val="22"/>
          <w:szCs w:val="22"/>
        </w:rPr>
        <w:t xml:space="preserve"> </w:t>
      </w:r>
      <w:r w:rsidR="00E431A4" w:rsidRPr="009B2D18">
        <w:rPr>
          <w:bCs/>
          <w:sz w:val="22"/>
          <w:szCs w:val="22"/>
        </w:rPr>
        <w:t>Desk-based site geologic</w:t>
      </w:r>
      <w:r w:rsidR="00C56F15" w:rsidRPr="009B2D18">
        <w:rPr>
          <w:bCs/>
          <w:sz w:val="22"/>
          <w:szCs w:val="22"/>
        </w:rPr>
        <w:t>al</w:t>
      </w:r>
      <w:r w:rsidR="00E431A4" w:rsidRPr="009B2D18">
        <w:rPr>
          <w:bCs/>
          <w:sz w:val="22"/>
          <w:szCs w:val="22"/>
        </w:rPr>
        <w:t>, hydrologic</w:t>
      </w:r>
      <w:r w:rsidR="00C56F15" w:rsidRPr="009B2D18">
        <w:rPr>
          <w:bCs/>
          <w:sz w:val="22"/>
          <w:szCs w:val="22"/>
        </w:rPr>
        <w:t>al</w:t>
      </w:r>
      <w:r w:rsidR="00E431A4" w:rsidRPr="009B2D18">
        <w:rPr>
          <w:bCs/>
          <w:sz w:val="22"/>
          <w:szCs w:val="22"/>
        </w:rPr>
        <w:t xml:space="preserve"> and historic</w:t>
      </w:r>
      <w:r w:rsidR="00C56F15" w:rsidRPr="009B2D18">
        <w:rPr>
          <w:bCs/>
          <w:sz w:val="22"/>
          <w:szCs w:val="22"/>
        </w:rPr>
        <w:t>al</w:t>
      </w:r>
      <w:r w:rsidR="00E431A4" w:rsidRPr="009B2D18">
        <w:rPr>
          <w:bCs/>
          <w:sz w:val="22"/>
          <w:szCs w:val="22"/>
        </w:rPr>
        <w:t xml:space="preserve"> surveys</w:t>
      </w:r>
      <w:r w:rsidR="00FF5431" w:rsidRPr="009B2D18">
        <w:rPr>
          <w:bCs/>
          <w:sz w:val="22"/>
          <w:szCs w:val="22"/>
        </w:rPr>
        <w:t>.</w:t>
      </w:r>
    </w:p>
    <w:p w14:paraId="55CEFE43" w14:textId="15342D1D" w:rsidR="00A715B7" w:rsidRPr="006A3A56" w:rsidRDefault="00A715B7" w:rsidP="00975B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A3A56">
        <w:rPr>
          <w:sz w:val="22"/>
          <w:szCs w:val="22"/>
        </w:rPr>
        <w:t>GroundSure</w:t>
      </w:r>
      <w:r w:rsidRPr="006A3A56">
        <w:rPr>
          <w:sz w:val="22"/>
          <w:szCs w:val="22"/>
          <w:vertAlign w:val="superscript"/>
        </w:rPr>
        <w:t>®</w:t>
      </w:r>
      <w:r w:rsidRPr="006A3A56">
        <w:rPr>
          <w:sz w:val="22"/>
          <w:szCs w:val="22"/>
        </w:rPr>
        <w:t xml:space="preserve"> geographic</w:t>
      </w:r>
      <w:r w:rsidR="00C56F15">
        <w:rPr>
          <w:sz w:val="22"/>
          <w:szCs w:val="22"/>
        </w:rPr>
        <w:t>al</w:t>
      </w:r>
      <w:r w:rsidRPr="006A3A56">
        <w:rPr>
          <w:sz w:val="22"/>
          <w:szCs w:val="22"/>
        </w:rPr>
        <w:t>, geologic</w:t>
      </w:r>
      <w:r w:rsidR="00C56F15">
        <w:rPr>
          <w:sz w:val="22"/>
          <w:szCs w:val="22"/>
        </w:rPr>
        <w:t>al</w:t>
      </w:r>
      <w:r w:rsidRPr="006A3A56">
        <w:rPr>
          <w:sz w:val="22"/>
          <w:szCs w:val="22"/>
        </w:rPr>
        <w:t>, hydrologic</w:t>
      </w:r>
      <w:r w:rsidR="00C56F15">
        <w:rPr>
          <w:sz w:val="22"/>
          <w:szCs w:val="22"/>
        </w:rPr>
        <w:t>al</w:t>
      </w:r>
      <w:r w:rsidRPr="006A3A56">
        <w:rPr>
          <w:sz w:val="22"/>
          <w:szCs w:val="22"/>
        </w:rPr>
        <w:t>, current and historic landuse data layers</w:t>
      </w:r>
      <w:r w:rsidR="004576A6">
        <w:rPr>
          <w:sz w:val="22"/>
          <w:szCs w:val="22"/>
        </w:rPr>
        <w:t xml:space="preserve"> </w:t>
      </w:r>
      <w:r w:rsidRPr="006A3A56">
        <w:rPr>
          <w:sz w:val="22"/>
          <w:szCs w:val="22"/>
        </w:rPr>
        <w:t>(MapInsight</w:t>
      </w:r>
      <w:r w:rsidRPr="006A3A56">
        <w:rPr>
          <w:sz w:val="22"/>
          <w:szCs w:val="22"/>
          <w:vertAlign w:val="superscript"/>
        </w:rPr>
        <w:t>®</w:t>
      </w:r>
      <w:r w:rsidRPr="006A3A56">
        <w:rPr>
          <w:sz w:val="22"/>
          <w:szCs w:val="22"/>
        </w:rPr>
        <w:t>, GeoInsight</w:t>
      </w:r>
      <w:r w:rsidRPr="006A3A56">
        <w:rPr>
          <w:sz w:val="22"/>
          <w:szCs w:val="22"/>
          <w:vertAlign w:val="superscript"/>
        </w:rPr>
        <w:t>®</w:t>
      </w:r>
      <w:r w:rsidRPr="006A3A56">
        <w:rPr>
          <w:sz w:val="22"/>
          <w:szCs w:val="22"/>
        </w:rPr>
        <w:t xml:space="preserve"> and EnviroInsight</w:t>
      </w:r>
      <w:r w:rsidRPr="006A3A56">
        <w:rPr>
          <w:sz w:val="22"/>
          <w:szCs w:val="22"/>
          <w:vertAlign w:val="superscript"/>
        </w:rPr>
        <w:t>®</w:t>
      </w:r>
      <w:r w:rsidRPr="006A3A56">
        <w:rPr>
          <w:sz w:val="22"/>
          <w:szCs w:val="22"/>
        </w:rPr>
        <w:t>) were obtained</w:t>
      </w:r>
      <w:r w:rsidR="006D4246">
        <w:rPr>
          <w:sz w:val="22"/>
          <w:szCs w:val="22"/>
        </w:rPr>
        <w:t xml:space="preserve"> for the </w:t>
      </w:r>
      <w:r w:rsidR="006D4246" w:rsidRPr="006D4246">
        <w:rPr>
          <w:sz w:val="22"/>
          <w:szCs w:val="22"/>
        </w:rPr>
        <w:t>Invasives Research Centre (IRC), Taffs Well</w:t>
      </w:r>
      <w:r w:rsidR="001C4706" w:rsidRPr="006A3A56">
        <w:rPr>
          <w:sz w:val="22"/>
          <w:szCs w:val="22"/>
        </w:rPr>
        <w:t>. These data were</w:t>
      </w:r>
      <w:r w:rsidRPr="006A3A56">
        <w:rPr>
          <w:sz w:val="22"/>
          <w:szCs w:val="22"/>
        </w:rPr>
        <w:t xml:space="preserve"> interpreted in conjunction with author </w:t>
      </w:r>
      <w:r w:rsidRPr="006A3A56">
        <w:rPr>
          <w:bCs/>
          <w:color w:val="000000" w:themeColor="text1"/>
          <w:sz w:val="22"/>
          <w:szCs w:val="22"/>
          <w:lang w:eastAsia="ja-JP"/>
        </w:rPr>
        <w:t xml:space="preserve">pre-trial </w:t>
      </w:r>
      <w:r w:rsidRPr="006A3A56">
        <w:rPr>
          <w:sz w:val="22"/>
          <w:szCs w:val="22"/>
        </w:rPr>
        <w:t xml:space="preserve">onsite </w:t>
      </w:r>
      <w:r w:rsidRPr="006A3A56">
        <w:rPr>
          <w:bCs/>
          <w:color w:val="000000" w:themeColor="text1"/>
          <w:sz w:val="22"/>
          <w:szCs w:val="22"/>
          <w:lang w:eastAsia="ja-JP"/>
        </w:rPr>
        <w:t>investigations to e</w:t>
      </w:r>
      <w:r w:rsidRPr="006A3A56">
        <w:rPr>
          <w:sz w:val="22"/>
          <w:szCs w:val="22"/>
          <w:lang w:eastAsia="ja-JP"/>
        </w:rPr>
        <w:t>nsure</w:t>
      </w:r>
      <w:r w:rsidR="00D324E7">
        <w:rPr>
          <w:sz w:val="22"/>
          <w:szCs w:val="22"/>
          <w:lang w:eastAsia="ja-JP"/>
        </w:rPr>
        <w:t xml:space="preserve"> </w:t>
      </w:r>
      <w:r w:rsidR="001C4706" w:rsidRPr="006A3A56">
        <w:rPr>
          <w:sz w:val="22"/>
          <w:szCs w:val="22"/>
          <w:lang w:eastAsia="ja-JP"/>
        </w:rPr>
        <w:t xml:space="preserve">appropriate siting of </w:t>
      </w:r>
      <w:r w:rsidR="006D4246" w:rsidRPr="006D4246">
        <w:rPr>
          <w:bCs/>
          <w:i/>
          <w:iCs/>
          <w:sz w:val="22"/>
          <w:szCs w:val="22"/>
          <w:lang w:eastAsia="ja-JP"/>
        </w:rPr>
        <w:t>Petasites</w:t>
      </w:r>
      <w:r w:rsidR="006D4246">
        <w:rPr>
          <w:bCs/>
          <w:i/>
          <w:iCs/>
          <w:sz w:val="22"/>
          <w:szCs w:val="22"/>
          <w:lang w:eastAsia="ja-JP"/>
        </w:rPr>
        <w:t xml:space="preserve"> </w:t>
      </w:r>
      <w:r w:rsidR="004E48AD" w:rsidRPr="00E146E9">
        <w:rPr>
          <w:bCs/>
          <w:i/>
          <w:iCs/>
          <w:sz w:val="22"/>
          <w:szCs w:val="22"/>
          <w:lang w:eastAsia="ja-JP"/>
        </w:rPr>
        <w:t>pyrenaicus</w:t>
      </w:r>
      <w:r w:rsidR="004E48AD" w:rsidRPr="004E48AD">
        <w:rPr>
          <w:bCs/>
          <w:i/>
          <w:iCs/>
          <w:sz w:val="22"/>
          <w:szCs w:val="22"/>
          <w:lang w:eastAsia="ja-JP"/>
        </w:rPr>
        <w:t xml:space="preserve"> </w:t>
      </w:r>
      <w:r w:rsidR="001C4706" w:rsidRPr="006A3A56">
        <w:rPr>
          <w:bCs/>
          <w:color w:val="000000" w:themeColor="text1"/>
          <w:sz w:val="22"/>
          <w:szCs w:val="22"/>
          <w:lang w:eastAsia="ja-JP"/>
        </w:rPr>
        <w:t>field trial plots and treatment groups</w:t>
      </w:r>
      <w:r w:rsidR="00110866" w:rsidRPr="006A3A56">
        <w:rPr>
          <w:bCs/>
          <w:color w:val="000000" w:themeColor="text1"/>
          <w:sz w:val="22"/>
          <w:szCs w:val="22"/>
          <w:lang w:eastAsia="ja-JP"/>
        </w:rPr>
        <w:t>, i.e.</w:t>
      </w:r>
      <w:r w:rsidR="001C4706" w:rsidRPr="006A3A56">
        <w:rPr>
          <w:bCs/>
          <w:color w:val="000000" w:themeColor="text1"/>
          <w:sz w:val="22"/>
          <w:szCs w:val="22"/>
          <w:lang w:eastAsia="ja-JP"/>
        </w:rPr>
        <w:t xml:space="preserve"> </w:t>
      </w:r>
      <w:r w:rsidR="001C4706" w:rsidRPr="006A3A56">
        <w:rPr>
          <w:sz w:val="22"/>
          <w:szCs w:val="22"/>
        </w:rPr>
        <w:t xml:space="preserve">only biactive formulations of glyphosate </w:t>
      </w:r>
      <w:r w:rsidR="00110866" w:rsidRPr="006A3A56">
        <w:rPr>
          <w:sz w:val="22"/>
          <w:szCs w:val="22"/>
        </w:rPr>
        <w:t>may</w:t>
      </w:r>
      <w:r w:rsidR="001C4706" w:rsidRPr="006A3A56">
        <w:rPr>
          <w:sz w:val="22"/>
          <w:szCs w:val="22"/>
        </w:rPr>
        <w:t xml:space="preserve"> be used near water and excavation should not be undertaken near watercourses</w:t>
      </w:r>
      <w:r w:rsidR="00110866" w:rsidRPr="006A3A56">
        <w:rPr>
          <w:sz w:val="22"/>
          <w:szCs w:val="22"/>
        </w:rPr>
        <w:t xml:space="preserve"> due to the potential for dispersal of vegetative propagules</w:t>
      </w:r>
      <w:r w:rsidR="001C4706" w:rsidRPr="006A3A56">
        <w:rPr>
          <w:sz w:val="22"/>
          <w:szCs w:val="22"/>
        </w:rPr>
        <w:t>.</w:t>
      </w:r>
    </w:p>
    <w:p w14:paraId="748F7652" w14:textId="77777777" w:rsidR="001172A7" w:rsidRDefault="001172A7" w:rsidP="00975BFF">
      <w:pPr>
        <w:pStyle w:val="Body"/>
        <w:spacing w:line="276" w:lineRule="auto"/>
        <w:jc w:val="both"/>
        <w:rPr>
          <w:rFonts w:ascii="Times New Roman" w:hAnsi="Times New Roman"/>
          <w:b/>
          <w:sz w:val="22"/>
          <w:lang w:val="en-GB"/>
        </w:rPr>
      </w:pPr>
    </w:p>
    <w:p w14:paraId="051DE8B9" w14:textId="3641A72F" w:rsidR="00CD1F0F" w:rsidRPr="00583464" w:rsidRDefault="00A41AB5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Field Trial Site</w:t>
      </w:r>
      <w:r w:rsidR="00583464">
        <w:rPr>
          <w:rFonts w:ascii="Times New Roman" w:hAnsi="Times New Roman"/>
          <w:b/>
          <w:sz w:val="22"/>
          <w:lang w:val="en-GB"/>
        </w:rPr>
        <w:t xml:space="preserve">: </w:t>
      </w:r>
      <w:r>
        <w:rPr>
          <w:rFonts w:ascii="Times New Roman" w:hAnsi="Times New Roman"/>
          <w:sz w:val="22"/>
          <w:szCs w:val="22"/>
        </w:rPr>
        <w:t>Invasives Research Centre (IRC), Taffs Well</w:t>
      </w:r>
    </w:p>
    <w:p w14:paraId="73E53040" w14:textId="77777777" w:rsidR="005E5B73" w:rsidRPr="006A3A56" w:rsidRDefault="005E5B73" w:rsidP="00975BFF">
      <w:pPr>
        <w:spacing w:line="276" w:lineRule="auto"/>
        <w:jc w:val="both"/>
        <w:rPr>
          <w:color w:val="000000" w:themeColor="text1"/>
          <w:sz w:val="22"/>
          <w:szCs w:val="22"/>
          <w:lang w:eastAsia="ja-JP"/>
        </w:rPr>
      </w:pPr>
      <w:r w:rsidRPr="006A3A56">
        <w:rPr>
          <w:b/>
          <w:color w:val="000000" w:themeColor="text1"/>
          <w:sz w:val="22"/>
          <w:szCs w:val="22"/>
          <w:lang w:eastAsia="ja-JP"/>
        </w:rPr>
        <w:t>Location:</w:t>
      </w:r>
      <w:r w:rsidRPr="006A3A56">
        <w:rPr>
          <w:color w:val="000000" w:themeColor="text1"/>
          <w:sz w:val="22"/>
          <w:szCs w:val="22"/>
          <w:lang w:eastAsia="ja-JP"/>
        </w:rPr>
        <w:t xml:space="preserve"> WGS 84: 51.534124, -3.259120</w:t>
      </w:r>
    </w:p>
    <w:p w14:paraId="7C9E0935" w14:textId="504DBCD1" w:rsidR="005E5B73" w:rsidRPr="006A3A56" w:rsidRDefault="005E5B73" w:rsidP="00975BFF">
      <w:pPr>
        <w:spacing w:line="276" w:lineRule="auto"/>
        <w:jc w:val="both"/>
        <w:rPr>
          <w:bCs/>
          <w:color w:val="000000" w:themeColor="text1"/>
          <w:sz w:val="22"/>
          <w:szCs w:val="22"/>
          <w:lang w:eastAsia="ja-JP"/>
        </w:rPr>
      </w:pPr>
      <w:r w:rsidRPr="006A3A56">
        <w:rPr>
          <w:b/>
          <w:color w:val="000000" w:themeColor="text1"/>
          <w:sz w:val="22"/>
          <w:szCs w:val="22"/>
          <w:lang w:eastAsia="ja-JP"/>
        </w:rPr>
        <w:t>Ordnance Survey (OS) Grid Reference:</w:t>
      </w:r>
      <w:r w:rsidRPr="006A3A56">
        <w:rPr>
          <w:color w:val="000000" w:themeColor="text1"/>
          <w:sz w:val="22"/>
          <w:szCs w:val="22"/>
          <w:lang w:eastAsia="ja-JP"/>
        </w:rPr>
        <w:t xml:space="preserve"> ST </w:t>
      </w:r>
      <w:r w:rsidRPr="006A3A56">
        <w:rPr>
          <w:bCs/>
          <w:color w:val="000000" w:themeColor="text1"/>
          <w:sz w:val="22"/>
          <w:szCs w:val="22"/>
          <w:lang w:eastAsia="ja-JP"/>
        </w:rPr>
        <w:t>127 824</w:t>
      </w:r>
    </w:p>
    <w:p w14:paraId="6E3366EC" w14:textId="7DA26F4E" w:rsidR="000B58CE" w:rsidRPr="006A3A56" w:rsidRDefault="000B58CE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 w:rsidRPr="006A3A56">
        <w:rPr>
          <w:rFonts w:ascii="Times New Roman" w:hAnsi="Times New Roman"/>
          <w:sz w:val="22"/>
          <w:lang w:val="en-GB"/>
        </w:rPr>
        <w:t xml:space="preserve">No artificial ground, landslips, ground workings or natural ground subsidence was reported </w:t>
      </w:r>
      <w:r w:rsidR="00A41AB5">
        <w:rPr>
          <w:rFonts w:ascii="Times New Roman" w:hAnsi="Times New Roman"/>
          <w:sz w:val="22"/>
          <w:lang w:val="en-GB"/>
        </w:rPr>
        <w:t>at the field trial site</w:t>
      </w:r>
      <w:r w:rsidR="00FA11D5">
        <w:rPr>
          <w:rFonts w:ascii="Times New Roman" w:hAnsi="Times New Roman"/>
          <w:sz w:val="22"/>
          <w:lang w:val="en-GB"/>
        </w:rPr>
        <w:t xml:space="preserve"> (Table S2</w:t>
      </w:r>
      <w:r w:rsidRPr="006A3A56">
        <w:rPr>
          <w:rFonts w:ascii="Times New Roman" w:hAnsi="Times New Roman"/>
          <w:sz w:val="22"/>
          <w:lang w:val="en-GB"/>
        </w:rPr>
        <w:t>.</w:t>
      </w:r>
      <w:r w:rsidR="00A41AB5">
        <w:rPr>
          <w:rFonts w:ascii="Times New Roman" w:hAnsi="Times New Roman"/>
          <w:sz w:val="22"/>
          <w:lang w:val="en-GB"/>
        </w:rPr>
        <w:t>1</w:t>
      </w:r>
      <w:r w:rsidRPr="006A3A56">
        <w:rPr>
          <w:rFonts w:ascii="Times New Roman" w:hAnsi="Times New Roman"/>
          <w:sz w:val="22"/>
          <w:lang w:val="en-GB"/>
        </w:rPr>
        <w:t xml:space="preserve">). Measures of natural ground subsidence are rated very low to moderate at the </w:t>
      </w:r>
      <w:r w:rsidR="00E431A4">
        <w:rPr>
          <w:rFonts w:ascii="Times New Roman" w:hAnsi="Times New Roman"/>
          <w:sz w:val="22"/>
          <w:lang w:val="en-GB"/>
        </w:rPr>
        <w:t>site</w:t>
      </w:r>
      <w:r w:rsidRPr="006A3A56">
        <w:rPr>
          <w:rFonts w:ascii="Times New Roman" w:hAnsi="Times New Roman"/>
          <w:sz w:val="22"/>
          <w:lang w:val="en-GB"/>
        </w:rPr>
        <w:t xml:space="preserve">. Substratum at the </w:t>
      </w:r>
      <w:r w:rsidR="00E431A4">
        <w:rPr>
          <w:rFonts w:ascii="Times New Roman" w:hAnsi="Times New Roman"/>
          <w:sz w:val="22"/>
          <w:lang w:val="en-GB"/>
        </w:rPr>
        <w:t>site</w:t>
      </w:r>
      <w:r w:rsidRPr="006A3A56">
        <w:rPr>
          <w:rFonts w:ascii="Times New Roman" w:hAnsi="Times New Roman"/>
          <w:sz w:val="22"/>
          <w:lang w:val="en-GB"/>
        </w:rPr>
        <w:t xml:space="preserve"> consists of alluvium, river terrace and glaciofluvial deposits with high permeability, overlying permeable limestone. </w:t>
      </w:r>
      <w:r w:rsidR="00E53927" w:rsidRPr="006A3A56">
        <w:rPr>
          <w:rFonts w:ascii="Times New Roman" w:hAnsi="Times New Roman"/>
          <w:sz w:val="22"/>
          <w:lang w:val="en-GB"/>
        </w:rPr>
        <w:t xml:space="preserve">Estimated soil chemistry reported: </w:t>
      </w:r>
      <w:r w:rsidRPr="006A3A56">
        <w:rPr>
          <w:rFonts w:ascii="Times New Roman" w:hAnsi="Times New Roman"/>
          <w:sz w:val="22"/>
          <w:lang w:val="en-GB"/>
        </w:rPr>
        <w:t>arsenic (25 to 45 mg kg</w:t>
      </w:r>
      <w:r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-1</w:t>
      </w:r>
      <w:r w:rsidRPr="006A3A56">
        <w:rPr>
          <w:rFonts w:ascii="Times New Roman" w:hAnsi="Times New Roman"/>
          <w:sz w:val="22"/>
          <w:lang w:val="en-GB"/>
        </w:rPr>
        <w:t>), cadmium (&lt;1.8 mg kg</w:t>
      </w:r>
      <w:r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-1</w:t>
      </w:r>
      <w:r w:rsidRPr="006A3A56">
        <w:rPr>
          <w:rFonts w:ascii="Times New Roman" w:hAnsi="Times New Roman"/>
          <w:sz w:val="22"/>
          <w:lang w:val="en-GB"/>
        </w:rPr>
        <w:t>), chromium (60 to 90 mg kg</w:t>
      </w:r>
      <w:r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-1</w:t>
      </w:r>
      <w:r w:rsidRPr="006A3A56">
        <w:rPr>
          <w:rFonts w:ascii="Times New Roman" w:hAnsi="Times New Roman"/>
          <w:sz w:val="22"/>
          <w:lang w:val="en-GB"/>
        </w:rPr>
        <w:t>), nickel (15 to 45 mg kg</w:t>
      </w:r>
      <w:r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-1</w:t>
      </w:r>
      <w:r w:rsidRPr="006A3A56">
        <w:rPr>
          <w:rFonts w:ascii="Times New Roman" w:hAnsi="Times New Roman"/>
          <w:sz w:val="22"/>
          <w:lang w:val="en-GB"/>
        </w:rPr>
        <w:t>) and lead (&lt;150 mg kg</w:t>
      </w:r>
      <w:r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-1</w:t>
      </w:r>
      <w:r w:rsidRPr="006A3A56">
        <w:rPr>
          <w:rFonts w:ascii="Times New Roman" w:hAnsi="Times New Roman"/>
          <w:sz w:val="22"/>
          <w:lang w:val="en-GB"/>
        </w:rPr>
        <w:t>).</w:t>
      </w:r>
    </w:p>
    <w:p w14:paraId="622BAEC4" w14:textId="77777777" w:rsidR="000B58CE" w:rsidRPr="006A3A56" w:rsidRDefault="000B58CE" w:rsidP="00975BFF">
      <w:pPr>
        <w:spacing w:line="276" w:lineRule="auto"/>
        <w:jc w:val="both"/>
        <w:rPr>
          <w:bCs/>
          <w:color w:val="000000" w:themeColor="text1"/>
          <w:sz w:val="22"/>
          <w:szCs w:val="22"/>
          <w:lang w:eastAsia="ja-JP"/>
        </w:rPr>
      </w:pPr>
    </w:p>
    <w:p w14:paraId="4940C62B" w14:textId="0225D7B4" w:rsidR="004D5477" w:rsidRDefault="00FA11D5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Supplementary </w:t>
      </w:r>
      <w:r w:rsidR="001C4706" w:rsidRPr="006A3A56">
        <w:rPr>
          <w:rFonts w:ascii="Times New Roman" w:hAnsi="Times New Roman"/>
          <w:b/>
          <w:sz w:val="22"/>
          <w:lang w:val="en-GB"/>
        </w:rPr>
        <w:t>Table S</w:t>
      </w:r>
      <w:r w:rsidR="004E48AD">
        <w:rPr>
          <w:rFonts w:ascii="Times New Roman" w:hAnsi="Times New Roman"/>
          <w:b/>
          <w:sz w:val="22"/>
          <w:lang w:val="en-GB"/>
        </w:rPr>
        <w:t>1</w:t>
      </w:r>
      <w:r w:rsidR="006C65D4" w:rsidRPr="006A3A56">
        <w:rPr>
          <w:rFonts w:ascii="Times New Roman" w:hAnsi="Times New Roman"/>
          <w:b/>
          <w:sz w:val="22"/>
          <w:lang w:val="en-GB"/>
        </w:rPr>
        <w:t>.</w:t>
      </w:r>
      <w:r w:rsidR="00A41AB5">
        <w:rPr>
          <w:rFonts w:ascii="Times New Roman" w:hAnsi="Times New Roman"/>
          <w:b/>
          <w:sz w:val="22"/>
          <w:lang w:val="en-GB"/>
        </w:rPr>
        <w:t>1</w:t>
      </w:r>
      <w:r w:rsidR="006C65D4" w:rsidRPr="006A3A56">
        <w:rPr>
          <w:rFonts w:ascii="Times New Roman" w:hAnsi="Times New Roman"/>
          <w:b/>
          <w:sz w:val="22"/>
          <w:lang w:val="en-GB"/>
        </w:rPr>
        <w:t xml:space="preserve"> </w:t>
      </w:r>
      <w:r w:rsidR="006C65D4" w:rsidRPr="006A3A56">
        <w:rPr>
          <w:rFonts w:ascii="Times New Roman" w:hAnsi="Times New Roman"/>
          <w:sz w:val="22"/>
          <w:lang w:val="en-GB"/>
        </w:rPr>
        <w:t xml:space="preserve">Summary of </w:t>
      </w:r>
      <w:r w:rsidR="00A41AB5">
        <w:rPr>
          <w:rFonts w:ascii="Times New Roman" w:hAnsi="Times New Roman"/>
          <w:sz w:val="22"/>
          <w:lang w:val="en-GB"/>
        </w:rPr>
        <w:t>IRC</w:t>
      </w:r>
      <w:r w:rsidR="006C65D4" w:rsidRPr="006A3A56">
        <w:rPr>
          <w:rFonts w:ascii="Times New Roman" w:hAnsi="Times New Roman"/>
          <w:sz w:val="22"/>
          <w:lang w:val="en-GB"/>
        </w:rPr>
        <w:t xml:space="preserve"> GroundSure </w:t>
      </w:r>
      <w:r w:rsidR="006C65D4" w:rsidRPr="006A3A56">
        <w:rPr>
          <w:rFonts w:ascii="Times New Roman" w:hAnsi="Times New Roman"/>
          <w:sz w:val="22"/>
          <w:szCs w:val="22"/>
          <w:lang w:val="en-GB"/>
        </w:rPr>
        <w:t>GeoInsight</w:t>
      </w:r>
      <w:r w:rsidR="006C65D4"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®</w:t>
      </w:r>
      <w:r w:rsidR="006C65D4" w:rsidRPr="006A3A5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C65D4" w:rsidRPr="006A3A56">
        <w:rPr>
          <w:rFonts w:ascii="Times New Roman" w:hAnsi="Times New Roman"/>
          <w:sz w:val="22"/>
          <w:lang w:val="en-GB"/>
        </w:rPr>
        <w:t>report.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985"/>
      </w:tblGrid>
      <w:tr w:rsidR="00316A6E" w:rsidRPr="001172A7" w14:paraId="5365B043" w14:textId="77777777" w:rsidTr="00E566E9">
        <w:trPr>
          <w:jc w:val="center"/>
        </w:trPr>
        <w:tc>
          <w:tcPr>
            <w:tcW w:w="1985" w:type="dxa"/>
            <w:tcBorders>
              <w:right w:val="nil"/>
            </w:tcBorders>
            <w:shd w:val="clear" w:color="auto" w:fill="BFBFBF" w:themeFill="background1" w:themeFillShade="BF"/>
          </w:tcPr>
          <w:p w14:paraId="40493545" w14:textId="77777777" w:rsidR="00316A6E" w:rsidRPr="001172A7" w:rsidRDefault="00316A6E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Report Section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</w:tcPr>
          <w:p w14:paraId="538D6DA2" w14:textId="77777777" w:rsidR="00316A6E" w:rsidRPr="001172A7" w:rsidRDefault="00316A6E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3B3CA52" w14:textId="77777777" w:rsidR="00316A6E" w:rsidRPr="001172A7" w:rsidRDefault="00316A6E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Description</w:t>
            </w:r>
          </w:p>
        </w:tc>
      </w:tr>
      <w:tr w:rsidR="00316A6E" w:rsidRPr="001172A7" w14:paraId="671E9ED6" w14:textId="77777777" w:rsidTr="00E566E9">
        <w:trPr>
          <w:jc w:val="center"/>
        </w:trPr>
        <w:tc>
          <w:tcPr>
            <w:tcW w:w="1985" w:type="dxa"/>
            <w:vMerge w:val="restart"/>
          </w:tcPr>
          <w:p w14:paraId="7F27D99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Artificial Ground</w:t>
            </w:r>
          </w:p>
        </w:tc>
        <w:tc>
          <w:tcPr>
            <w:tcW w:w="5103" w:type="dxa"/>
          </w:tcPr>
          <w:p w14:paraId="36D2B11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Is there any Artificial Ground /Made Ground present beneath the study site?</w:t>
            </w:r>
          </w:p>
        </w:tc>
        <w:tc>
          <w:tcPr>
            <w:tcW w:w="1985" w:type="dxa"/>
          </w:tcPr>
          <w:p w14:paraId="4BDFE345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No</w:t>
            </w:r>
          </w:p>
        </w:tc>
      </w:tr>
      <w:tr w:rsidR="00316A6E" w:rsidRPr="001172A7" w14:paraId="34E3EF75" w14:textId="77777777" w:rsidTr="00E566E9">
        <w:trPr>
          <w:jc w:val="center"/>
        </w:trPr>
        <w:tc>
          <w:tcPr>
            <w:tcW w:w="1985" w:type="dxa"/>
            <w:vMerge/>
          </w:tcPr>
          <w:p w14:paraId="1CC0709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DAC9D4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Are there any records relating to permeability of artificial ground within the study site boundary?</w:t>
            </w:r>
          </w:p>
        </w:tc>
        <w:tc>
          <w:tcPr>
            <w:tcW w:w="1985" w:type="dxa"/>
          </w:tcPr>
          <w:p w14:paraId="0219DA9A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No</w:t>
            </w:r>
          </w:p>
        </w:tc>
      </w:tr>
      <w:tr w:rsidR="00316A6E" w:rsidRPr="001172A7" w14:paraId="582E7C3A" w14:textId="77777777" w:rsidTr="00E566E9">
        <w:trPr>
          <w:jc w:val="center"/>
        </w:trPr>
        <w:tc>
          <w:tcPr>
            <w:tcW w:w="1985" w:type="dxa"/>
            <w:vMerge w:val="restart"/>
          </w:tcPr>
          <w:p w14:paraId="2766271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Superficial Geology &amp; Landslips</w:t>
            </w:r>
          </w:p>
        </w:tc>
        <w:tc>
          <w:tcPr>
            <w:tcW w:w="5103" w:type="dxa"/>
          </w:tcPr>
          <w:p w14:paraId="14F7323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Is there any Superficial Ground/Drift Geology present beneath the study site?</w:t>
            </w:r>
          </w:p>
        </w:tc>
        <w:tc>
          <w:tcPr>
            <w:tcW w:w="1985" w:type="dxa"/>
          </w:tcPr>
          <w:p w14:paraId="6A4E4809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Yes</w:t>
            </w:r>
          </w:p>
        </w:tc>
      </w:tr>
      <w:tr w:rsidR="00316A6E" w:rsidRPr="001172A7" w14:paraId="4808CDA7" w14:textId="77777777" w:rsidTr="00E566E9">
        <w:trPr>
          <w:jc w:val="center"/>
        </w:trPr>
        <w:tc>
          <w:tcPr>
            <w:tcW w:w="1985" w:type="dxa"/>
            <w:vMerge/>
          </w:tcPr>
          <w:p w14:paraId="0A6099AF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6F4958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Are there any records relating to permeability of superficial geology within the study site boundary?</w:t>
            </w:r>
          </w:p>
        </w:tc>
        <w:tc>
          <w:tcPr>
            <w:tcW w:w="1985" w:type="dxa"/>
          </w:tcPr>
          <w:p w14:paraId="60195CC5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Yes</w:t>
            </w:r>
          </w:p>
        </w:tc>
      </w:tr>
      <w:tr w:rsidR="00316A6E" w:rsidRPr="001172A7" w14:paraId="213273AD" w14:textId="77777777" w:rsidTr="00E566E9">
        <w:trPr>
          <w:jc w:val="center"/>
        </w:trPr>
        <w:tc>
          <w:tcPr>
            <w:tcW w:w="1985" w:type="dxa"/>
            <w:vMerge/>
          </w:tcPr>
          <w:p w14:paraId="14C6629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9C07241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Are there any records of landslip within 500m of the study site boundary?</w:t>
            </w:r>
          </w:p>
        </w:tc>
        <w:tc>
          <w:tcPr>
            <w:tcW w:w="1985" w:type="dxa"/>
          </w:tcPr>
          <w:p w14:paraId="06EBDAB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No</w:t>
            </w:r>
          </w:p>
        </w:tc>
      </w:tr>
      <w:tr w:rsidR="00316A6E" w:rsidRPr="001172A7" w14:paraId="513D5EC4" w14:textId="77777777" w:rsidTr="00E566E9">
        <w:trPr>
          <w:jc w:val="center"/>
        </w:trPr>
        <w:tc>
          <w:tcPr>
            <w:tcW w:w="1985" w:type="dxa"/>
            <w:vMerge/>
          </w:tcPr>
          <w:p w14:paraId="278C7B7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369EA09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Are there any records relating to permeability of landslips within the study site boundary?</w:t>
            </w:r>
          </w:p>
        </w:tc>
        <w:tc>
          <w:tcPr>
            <w:tcW w:w="1985" w:type="dxa"/>
          </w:tcPr>
          <w:p w14:paraId="214438A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No</w:t>
            </w:r>
          </w:p>
        </w:tc>
      </w:tr>
      <w:tr w:rsidR="00316A6E" w:rsidRPr="001172A7" w14:paraId="404FF8AE" w14:textId="77777777" w:rsidTr="00E566E9">
        <w:trPr>
          <w:jc w:val="center"/>
        </w:trPr>
        <w:tc>
          <w:tcPr>
            <w:tcW w:w="1985" w:type="dxa"/>
            <w:vMerge w:val="restart"/>
          </w:tcPr>
          <w:p w14:paraId="3A695CB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Ground Workings</w:t>
            </w:r>
          </w:p>
        </w:tc>
        <w:tc>
          <w:tcPr>
            <w:tcW w:w="5103" w:type="dxa"/>
          </w:tcPr>
          <w:p w14:paraId="7716DEA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Historical Surface Ground Working Features from Small Scale Mapping</w:t>
            </w:r>
          </w:p>
        </w:tc>
        <w:tc>
          <w:tcPr>
            <w:tcW w:w="1985" w:type="dxa"/>
          </w:tcPr>
          <w:p w14:paraId="436978E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0</w:t>
            </w:r>
          </w:p>
        </w:tc>
      </w:tr>
      <w:tr w:rsidR="00316A6E" w:rsidRPr="001172A7" w14:paraId="67C51C6E" w14:textId="77777777" w:rsidTr="00E566E9">
        <w:trPr>
          <w:jc w:val="center"/>
        </w:trPr>
        <w:tc>
          <w:tcPr>
            <w:tcW w:w="1985" w:type="dxa"/>
            <w:vMerge/>
          </w:tcPr>
          <w:p w14:paraId="5703FEF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F59BFDF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Historical Underground Workings Features from Small Scale Mapping</w:t>
            </w:r>
          </w:p>
        </w:tc>
        <w:tc>
          <w:tcPr>
            <w:tcW w:w="1985" w:type="dxa"/>
          </w:tcPr>
          <w:p w14:paraId="41229BF0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0</w:t>
            </w:r>
          </w:p>
        </w:tc>
      </w:tr>
      <w:tr w:rsidR="00316A6E" w:rsidRPr="001172A7" w14:paraId="165DE3B4" w14:textId="77777777" w:rsidTr="00E566E9">
        <w:trPr>
          <w:jc w:val="center"/>
        </w:trPr>
        <w:tc>
          <w:tcPr>
            <w:tcW w:w="1985" w:type="dxa"/>
            <w:vMerge/>
          </w:tcPr>
          <w:p w14:paraId="0FE0846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345029F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Current Ground Workings</w:t>
            </w:r>
          </w:p>
        </w:tc>
        <w:tc>
          <w:tcPr>
            <w:tcW w:w="1985" w:type="dxa"/>
          </w:tcPr>
          <w:p w14:paraId="79824A00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0</w:t>
            </w:r>
          </w:p>
        </w:tc>
      </w:tr>
      <w:tr w:rsidR="00316A6E" w:rsidRPr="001172A7" w14:paraId="715A0ABB" w14:textId="77777777" w:rsidTr="00E566E9">
        <w:trPr>
          <w:jc w:val="center"/>
        </w:trPr>
        <w:tc>
          <w:tcPr>
            <w:tcW w:w="1985" w:type="dxa"/>
            <w:vMerge w:val="restart"/>
          </w:tcPr>
          <w:p w14:paraId="2AF5340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Natural Ground Subsidence</w:t>
            </w:r>
          </w:p>
        </w:tc>
        <w:tc>
          <w:tcPr>
            <w:tcW w:w="5103" w:type="dxa"/>
          </w:tcPr>
          <w:p w14:paraId="1BDAB16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 xml:space="preserve">Shrink-Swell Clay </w:t>
            </w:r>
          </w:p>
        </w:tc>
        <w:tc>
          <w:tcPr>
            <w:tcW w:w="1985" w:type="dxa"/>
          </w:tcPr>
          <w:p w14:paraId="2FD3F490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Very Low</w:t>
            </w:r>
          </w:p>
        </w:tc>
      </w:tr>
      <w:tr w:rsidR="00316A6E" w:rsidRPr="001172A7" w14:paraId="469DF20C" w14:textId="77777777" w:rsidTr="00E566E9">
        <w:trPr>
          <w:jc w:val="center"/>
        </w:trPr>
        <w:tc>
          <w:tcPr>
            <w:tcW w:w="1985" w:type="dxa"/>
            <w:vMerge/>
          </w:tcPr>
          <w:p w14:paraId="265AA0A5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7DD1A56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Landslides</w:t>
            </w:r>
          </w:p>
        </w:tc>
        <w:tc>
          <w:tcPr>
            <w:tcW w:w="1985" w:type="dxa"/>
          </w:tcPr>
          <w:p w14:paraId="6EC2EA2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Moderate</w:t>
            </w:r>
          </w:p>
        </w:tc>
      </w:tr>
      <w:tr w:rsidR="00316A6E" w:rsidRPr="001172A7" w14:paraId="5F45F80F" w14:textId="77777777" w:rsidTr="00E566E9">
        <w:trPr>
          <w:jc w:val="center"/>
        </w:trPr>
        <w:tc>
          <w:tcPr>
            <w:tcW w:w="1985" w:type="dxa"/>
            <w:vMerge/>
          </w:tcPr>
          <w:p w14:paraId="345B976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8CBB9C9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Ground Dissolution of Soluble Rocks</w:t>
            </w:r>
          </w:p>
        </w:tc>
        <w:tc>
          <w:tcPr>
            <w:tcW w:w="1985" w:type="dxa"/>
          </w:tcPr>
          <w:p w14:paraId="7AA3216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Low</w:t>
            </w:r>
          </w:p>
        </w:tc>
      </w:tr>
      <w:tr w:rsidR="00316A6E" w:rsidRPr="001172A7" w14:paraId="51539735" w14:textId="77777777" w:rsidTr="00E566E9">
        <w:trPr>
          <w:jc w:val="center"/>
        </w:trPr>
        <w:tc>
          <w:tcPr>
            <w:tcW w:w="1985" w:type="dxa"/>
            <w:vMerge/>
          </w:tcPr>
          <w:p w14:paraId="1A4A50C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008FF3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Compressible Deposits</w:t>
            </w:r>
          </w:p>
        </w:tc>
        <w:tc>
          <w:tcPr>
            <w:tcW w:w="1985" w:type="dxa"/>
          </w:tcPr>
          <w:p w14:paraId="64349C0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Moderate</w:t>
            </w:r>
          </w:p>
        </w:tc>
      </w:tr>
      <w:tr w:rsidR="00316A6E" w:rsidRPr="001172A7" w14:paraId="0BF3C22F" w14:textId="77777777" w:rsidTr="00E566E9">
        <w:trPr>
          <w:jc w:val="center"/>
        </w:trPr>
        <w:tc>
          <w:tcPr>
            <w:tcW w:w="1985" w:type="dxa"/>
            <w:vMerge/>
          </w:tcPr>
          <w:p w14:paraId="0EDCA91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24FB33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Collapsible Deposits</w:t>
            </w:r>
          </w:p>
        </w:tc>
        <w:tc>
          <w:tcPr>
            <w:tcW w:w="1985" w:type="dxa"/>
          </w:tcPr>
          <w:p w14:paraId="069B3959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Very Low</w:t>
            </w:r>
          </w:p>
        </w:tc>
      </w:tr>
      <w:tr w:rsidR="00316A6E" w:rsidRPr="001172A7" w14:paraId="47BE3A60" w14:textId="77777777" w:rsidTr="00E566E9">
        <w:trPr>
          <w:jc w:val="center"/>
        </w:trPr>
        <w:tc>
          <w:tcPr>
            <w:tcW w:w="1985" w:type="dxa"/>
            <w:vMerge/>
          </w:tcPr>
          <w:p w14:paraId="216D370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75E5CD7A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Running Sand</w:t>
            </w:r>
          </w:p>
        </w:tc>
        <w:tc>
          <w:tcPr>
            <w:tcW w:w="1985" w:type="dxa"/>
          </w:tcPr>
          <w:p w14:paraId="0C08C6C5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Low</w:t>
            </w:r>
          </w:p>
        </w:tc>
      </w:tr>
      <w:tr w:rsidR="00316A6E" w:rsidRPr="001172A7" w14:paraId="5140A8E1" w14:textId="77777777" w:rsidTr="00E566E9">
        <w:trPr>
          <w:jc w:val="center"/>
        </w:trPr>
        <w:tc>
          <w:tcPr>
            <w:tcW w:w="1985" w:type="dxa"/>
            <w:vMerge w:val="restart"/>
          </w:tcPr>
          <w:p w14:paraId="67D2414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Records of Superficial Deposits/Drift Geology</w:t>
            </w:r>
          </w:p>
        </w:tc>
        <w:tc>
          <w:tcPr>
            <w:tcW w:w="5103" w:type="dxa"/>
          </w:tcPr>
          <w:p w14:paraId="08200B4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Lex Code</w:t>
            </w:r>
          </w:p>
        </w:tc>
        <w:tc>
          <w:tcPr>
            <w:tcW w:w="1985" w:type="dxa"/>
          </w:tcPr>
          <w:p w14:paraId="505E6B21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GFSDD-SAGR; RTDU-SAGR; ALV-CSSG</w:t>
            </w:r>
          </w:p>
        </w:tc>
      </w:tr>
      <w:tr w:rsidR="00316A6E" w:rsidRPr="001172A7" w14:paraId="7305322E" w14:textId="77777777" w:rsidTr="00E566E9">
        <w:trPr>
          <w:jc w:val="center"/>
        </w:trPr>
        <w:tc>
          <w:tcPr>
            <w:tcW w:w="1985" w:type="dxa"/>
            <w:vMerge/>
          </w:tcPr>
          <w:p w14:paraId="389B9C0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4BE702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Description</w:t>
            </w:r>
          </w:p>
        </w:tc>
        <w:tc>
          <w:tcPr>
            <w:tcW w:w="1985" w:type="dxa"/>
          </w:tcPr>
          <w:p w14:paraId="58E20C7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GLACIOFLUVIAL SHEET DEPOSITS, DEVENSIAN; RIVER TERRACE DEPOSITS (UNDIFFERENTIATED); ALLUVIUM</w:t>
            </w:r>
          </w:p>
        </w:tc>
      </w:tr>
      <w:tr w:rsidR="00316A6E" w:rsidRPr="001172A7" w14:paraId="2E1DBD03" w14:textId="77777777" w:rsidTr="00E566E9">
        <w:trPr>
          <w:jc w:val="center"/>
        </w:trPr>
        <w:tc>
          <w:tcPr>
            <w:tcW w:w="1985" w:type="dxa"/>
            <w:vMerge/>
          </w:tcPr>
          <w:p w14:paraId="2962FFB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5F872EF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Rock Description</w:t>
            </w:r>
          </w:p>
        </w:tc>
        <w:tc>
          <w:tcPr>
            <w:tcW w:w="1985" w:type="dxa"/>
          </w:tcPr>
          <w:p w14:paraId="375E0CC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SAND AND GRAVEL; SAND AND GRAVEL; CLAY, SILT, SAND AND GRAVEL</w:t>
            </w:r>
          </w:p>
        </w:tc>
      </w:tr>
      <w:tr w:rsidR="00316A6E" w:rsidRPr="001172A7" w14:paraId="3A3C7D36" w14:textId="77777777" w:rsidTr="00E566E9">
        <w:trPr>
          <w:jc w:val="center"/>
        </w:trPr>
        <w:tc>
          <w:tcPr>
            <w:tcW w:w="1985" w:type="dxa"/>
            <w:vMerge w:val="restart"/>
          </w:tcPr>
          <w:p w14:paraId="45E8D9D5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Records of Permeability of Superficial Ground</w:t>
            </w:r>
          </w:p>
        </w:tc>
        <w:tc>
          <w:tcPr>
            <w:tcW w:w="5103" w:type="dxa"/>
          </w:tcPr>
          <w:p w14:paraId="10F98DA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Flow type</w:t>
            </w:r>
          </w:p>
        </w:tc>
        <w:tc>
          <w:tcPr>
            <w:tcW w:w="1985" w:type="dxa"/>
          </w:tcPr>
          <w:p w14:paraId="50BB3DB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Intergranular</w:t>
            </w:r>
          </w:p>
        </w:tc>
      </w:tr>
      <w:tr w:rsidR="00316A6E" w:rsidRPr="001172A7" w14:paraId="1AFA7DC5" w14:textId="77777777" w:rsidTr="00E566E9">
        <w:trPr>
          <w:jc w:val="center"/>
        </w:trPr>
        <w:tc>
          <w:tcPr>
            <w:tcW w:w="1985" w:type="dxa"/>
            <w:vMerge/>
          </w:tcPr>
          <w:p w14:paraId="3D9C5CA1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29A686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Maximum Permeability</w:t>
            </w:r>
          </w:p>
        </w:tc>
        <w:tc>
          <w:tcPr>
            <w:tcW w:w="1985" w:type="dxa"/>
          </w:tcPr>
          <w:p w14:paraId="68A4F290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High—Very High</w:t>
            </w:r>
          </w:p>
        </w:tc>
      </w:tr>
      <w:tr w:rsidR="00316A6E" w:rsidRPr="001172A7" w14:paraId="1FF44AC7" w14:textId="77777777" w:rsidTr="00E566E9">
        <w:trPr>
          <w:jc w:val="center"/>
        </w:trPr>
        <w:tc>
          <w:tcPr>
            <w:tcW w:w="1985" w:type="dxa"/>
            <w:vMerge/>
          </w:tcPr>
          <w:p w14:paraId="16B7A0E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DA5339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 xml:space="preserve">Minimum Permeability </w:t>
            </w:r>
          </w:p>
        </w:tc>
        <w:tc>
          <w:tcPr>
            <w:tcW w:w="1985" w:type="dxa"/>
          </w:tcPr>
          <w:p w14:paraId="65B9B22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Very Low—High</w:t>
            </w:r>
          </w:p>
        </w:tc>
      </w:tr>
      <w:tr w:rsidR="00316A6E" w:rsidRPr="001172A7" w14:paraId="44999B68" w14:textId="77777777" w:rsidTr="00E566E9">
        <w:trPr>
          <w:jc w:val="center"/>
        </w:trPr>
        <w:tc>
          <w:tcPr>
            <w:tcW w:w="1985" w:type="dxa"/>
            <w:vMerge w:val="restart"/>
          </w:tcPr>
          <w:p w14:paraId="79E5682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Records of Bedrock &amp; Solid Geology</w:t>
            </w:r>
          </w:p>
        </w:tc>
        <w:tc>
          <w:tcPr>
            <w:tcW w:w="5103" w:type="dxa"/>
          </w:tcPr>
          <w:p w14:paraId="70D92197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Lex Code</w:t>
            </w:r>
          </w:p>
        </w:tc>
        <w:tc>
          <w:tcPr>
            <w:tcW w:w="1985" w:type="dxa"/>
          </w:tcPr>
          <w:p w14:paraId="54EA891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CCL-LMST; PEMB-DOLM</w:t>
            </w:r>
          </w:p>
        </w:tc>
      </w:tr>
      <w:tr w:rsidR="00316A6E" w:rsidRPr="001172A7" w14:paraId="5A9CF675" w14:textId="77777777" w:rsidTr="00E566E9">
        <w:trPr>
          <w:jc w:val="center"/>
        </w:trPr>
        <w:tc>
          <w:tcPr>
            <w:tcW w:w="1985" w:type="dxa"/>
            <w:vMerge/>
          </w:tcPr>
          <w:p w14:paraId="53EBC82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769BB0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Rock Description</w:t>
            </w:r>
          </w:p>
        </w:tc>
        <w:tc>
          <w:tcPr>
            <w:tcW w:w="1985" w:type="dxa"/>
          </w:tcPr>
          <w:p w14:paraId="4E3822D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Castell Coch Limestone Formation - Limestone; Pembroke Limestone Group - Dolomitic Limestone</w:t>
            </w:r>
          </w:p>
        </w:tc>
      </w:tr>
      <w:tr w:rsidR="00316A6E" w:rsidRPr="001172A7" w14:paraId="7F60AAAE" w14:textId="77777777" w:rsidTr="00E566E9">
        <w:trPr>
          <w:jc w:val="center"/>
        </w:trPr>
        <w:tc>
          <w:tcPr>
            <w:tcW w:w="1985" w:type="dxa"/>
            <w:vMerge/>
          </w:tcPr>
          <w:p w14:paraId="52A7BF5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865635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Rock Age</w:t>
            </w:r>
          </w:p>
        </w:tc>
        <w:tc>
          <w:tcPr>
            <w:tcW w:w="1985" w:type="dxa"/>
          </w:tcPr>
          <w:p w14:paraId="34A0296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Courceyan; Brigantian / Courceyan</w:t>
            </w:r>
          </w:p>
        </w:tc>
      </w:tr>
      <w:tr w:rsidR="00316A6E" w:rsidRPr="001172A7" w14:paraId="36CF288E" w14:textId="77777777" w:rsidTr="00E566E9">
        <w:trPr>
          <w:jc w:val="center"/>
        </w:trPr>
        <w:tc>
          <w:tcPr>
            <w:tcW w:w="1985" w:type="dxa"/>
            <w:vMerge w:val="restart"/>
          </w:tcPr>
          <w:p w14:paraId="3A80CEBF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Records of Permeability of Bedrock Ground</w:t>
            </w:r>
          </w:p>
        </w:tc>
        <w:tc>
          <w:tcPr>
            <w:tcW w:w="5103" w:type="dxa"/>
          </w:tcPr>
          <w:p w14:paraId="7A8840D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Flow type</w:t>
            </w:r>
          </w:p>
        </w:tc>
        <w:tc>
          <w:tcPr>
            <w:tcW w:w="1985" w:type="dxa"/>
          </w:tcPr>
          <w:p w14:paraId="582C4E9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Fracture</w:t>
            </w:r>
          </w:p>
        </w:tc>
      </w:tr>
      <w:tr w:rsidR="00316A6E" w:rsidRPr="001172A7" w14:paraId="025575FF" w14:textId="77777777" w:rsidTr="00E566E9">
        <w:trPr>
          <w:jc w:val="center"/>
        </w:trPr>
        <w:tc>
          <w:tcPr>
            <w:tcW w:w="1985" w:type="dxa"/>
            <w:vMerge/>
          </w:tcPr>
          <w:p w14:paraId="4453B08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9A89FF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Maximum Permeability</w:t>
            </w:r>
          </w:p>
        </w:tc>
        <w:tc>
          <w:tcPr>
            <w:tcW w:w="1985" w:type="dxa"/>
          </w:tcPr>
          <w:p w14:paraId="350E581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Very High</w:t>
            </w:r>
          </w:p>
        </w:tc>
      </w:tr>
      <w:tr w:rsidR="00316A6E" w:rsidRPr="001172A7" w14:paraId="4FD95A57" w14:textId="77777777" w:rsidTr="00E566E9">
        <w:trPr>
          <w:jc w:val="center"/>
        </w:trPr>
        <w:tc>
          <w:tcPr>
            <w:tcW w:w="1985" w:type="dxa"/>
            <w:vMerge/>
          </w:tcPr>
          <w:p w14:paraId="239C67B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244AF07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 xml:space="preserve">Minimum Permeability </w:t>
            </w:r>
          </w:p>
        </w:tc>
        <w:tc>
          <w:tcPr>
            <w:tcW w:w="1985" w:type="dxa"/>
          </w:tcPr>
          <w:p w14:paraId="5FFB8991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High</w:t>
            </w:r>
          </w:p>
        </w:tc>
      </w:tr>
      <w:tr w:rsidR="00316A6E" w:rsidRPr="001172A7" w14:paraId="5F33C085" w14:textId="77777777" w:rsidTr="00E566E9">
        <w:trPr>
          <w:jc w:val="center"/>
        </w:trPr>
        <w:tc>
          <w:tcPr>
            <w:tcW w:w="1985" w:type="dxa"/>
            <w:vMerge w:val="restart"/>
          </w:tcPr>
          <w:p w14:paraId="606B8D33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Faults</w:t>
            </w:r>
          </w:p>
        </w:tc>
        <w:tc>
          <w:tcPr>
            <w:tcW w:w="5103" w:type="dxa"/>
          </w:tcPr>
          <w:p w14:paraId="1914D650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Category description</w:t>
            </w:r>
          </w:p>
        </w:tc>
        <w:tc>
          <w:tcPr>
            <w:tcW w:w="1985" w:type="dxa"/>
          </w:tcPr>
          <w:p w14:paraId="4F6E8D6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FAULT</w:t>
            </w:r>
          </w:p>
        </w:tc>
      </w:tr>
      <w:tr w:rsidR="00316A6E" w:rsidRPr="001172A7" w14:paraId="30255038" w14:textId="77777777" w:rsidTr="00E566E9">
        <w:trPr>
          <w:jc w:val="center"/>
        </w:trPr>
        <w:tc>
          <w:tcPr>
            <w:tcW w:w="1985" w:type="dxa"/>
            <w:vMerge/>
          </w:tcPr>
          <w:p w14:paraId="5F6DA42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C4047D7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Feature description</w:t>
            </w:r>
          </w:p>
        </w:tc>
        <w:tc>
          <w:tcPr>
            <w:tcW w:w="1985" w:type="dxa"/>
          </w:tcPr>
          <w:p w14:paraId="1910AF6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Normal fault, inferred</w:t>
            </w:r>
          </w:p>
        </w:tc>
      </w:tr>
      <w:tr w:rsidR="00316A6E" w:rsidRPr="001172A7" w14:paraId="1FD751EE" w14:textId="77777777" w:rsidTr="00E566E9">
        <w:trPr>
          <w:jc w:val="center"/>
        </w:trPr>
        <w:tc>
          <w:tcPr>
            <w:tcW w:w="1985" w:type="dxa"/>
            <w:vMerge w:val="restart"/>
          </w:tcPr>
          <w:p w14:paraId="2283335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b/>
                <w:sz w:val="14"/>
                <w:szCs w:val="14"/>
              </w:rPr>
              <w:t>Estimated Background Soil Chemistry</w:t>
            </w:r>
          </w:p>
        </w:tc>
        <w:tc>
          <w:tcPr>
            <w:tcW w:w="5103" w:type="dxa"/>
          </w:tcPr>
          <w:p w14:paraId="1E56210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Sample Type</w:t>
            </w:r>
          </w:p>
        </w:tc>
        <w:tc>
          <w:tcPr>
            <w:tcW w:w="1985" w:type="dxa"/>
          </w:tcPr>
          <w:p w14:paraId="693E8DE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Sediment</w:t>
            </w:r>
          </w:p>
        </w:tc>
      </w:tr>
      <w:tr w:rsidR="00316A6E" w:rsidRPr="001172A7" w14:paraId="5A6A45CA" w14:textId="77777777" w:rsidTr="00E566E9">
        <w:trPr>
          <w:jc w:val="center"/>
        </w:trPr>
        <w:tc>
          <w:tcPr>
            <w:tcW w:w="1985" w:type="dxa"/>
            <w:vMerge/>
          </w:tcPr>
          <w:p w14:paraId="226EDDF8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2464A0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Arsenic (As) soil concentration range</w:t>
            </w:r>
          </w:p>
        </w:tc>
        <w:tc>
          <w:tcPr>
            <w:tcW w:w="1985" w:type="dxa"/>
          </w:tcPr>
          <w:p w14:paraId="2D92238B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25-35 mg/kg</w:t>
            </w:r>
          </w:p>
        </w:tc>
      </w:tr>
      <w:tr w:rsidR="00316A6E" w:rsidRPr="001172A7" w14:paraId="3F347590" w14:textId="77777777" w:rsidTr="00E566E9">
        <w:trPr>
          <w:jc w:val="center"/>
        </w:trPr>
        <w:tc>
          <w:tcPr>
            <w:tcW w:w="1985" w:type="dxa"/>
            <w:vMerge/>
          </w:tcPr>
          <w:p w14:paraId="3A043C5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F8C776D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 xml:space="preserve">Cadmium (Cd) </w:t>
            </w:r>
          </w:p>
        </w:tc>
        <w:tc>
          <w:tcPr>
            <w:tcW w:w="1985" w:type="dxa"/>
          </w:tcPr>
          <w:p w14:paraId="5ACE80EA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&lt;1.8-2.2 mg/kg</w:t>
            </w:r>
          </w:p>
        </w:tc>
      </w:tr>
      <w:tr w:rsidR="00316A6E" w:rsidRPr="001172A7" w14:paraId="249526A0" w14:textId="77777777" w:rsidTr="00E566E9">
        <w:trPr>
          <w:jc w:val="center"/>
        </w:trPr>
        <w:tc>
          <w:tcPr>
            <w:tcW w:w="1985" w:type="dxa"/>
            <w:vMerge/>
          </w:tcPr>
          <w:p w14:paraId="5A8EE602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71ACC9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Chromium (Cr)</w:t>
            </w:r>
          </w:p>
        </w:tc>
        <w:tc>
          <w:tcPr>
            <w:tcW w:w="1985" w:type="dxa"/>
          </w:tcPr>
          <w:p w14:paraId="1A28A6D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60-90 mg/kg</w:t>
            </w:r>
          </w:p>
        </w:tc>
      </w:tr>
      <w:tr w:rsidR="00316A6E" w:rsidRPr="001172A7" w14:paraId="707E6BFC" w14:textId="77777777" w:rsidTr="00E566E9">
        <w:trPr>
          <w:jc w:val="center"/>
        </w:trPr>
        <w:tc>
          <w:tcPr>
            <w:tcW w:w="1985" w:type="dxa"/>
            <w:vMerge/>
          </w:tcPr>
          <w:p w14:paraId="08F79B8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E161D87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Nickel (Ni)</w:t>
            </w:r>
          </w:p>
        </w:tc>
        <w:tc>
          <w:tcPr>
            <w:tcW w:w="1985" w:type="dxa"/>
          </w:tcPr>
          <w:p w14:paraId="51778036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15-45 mg/kg</w:t>
            </w:r>
          </w:p>
        </w:tc>
      </w:tr>
      <w:tr w:rsidR="00316A6E" w:rsidRPr="001172A7" w14:paraId="42BE022C" w14:textId="77777777" w:rsidTr="00E566E9">
        <w:trPr>
          <w:jc w:val="center"/>
        </w:trPr>
        <w:tc>
          <w:tcPr>
            <w:tcW w:w="1985" w:type="dxa"/>
            <w:vMerge/>
          </w:tcPr>
          <w:p w14:paraId="3D01909E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015D0CC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Lead (Pb)</w:t>
            </w:r>
          </w:p>
        </w:tc>
        <w:tc>
          <w:tcPr>
            <w:tcW w:w="1985" w:type="dxa"/>
          </w:tcPr>
          <w:p w14:paraId="5FF7DBF4" w14:textId="77777777" w:rsidR="00316A6E" w:rsidRPr="001172A7" w:rsidRDefault="00316A6E" w:rsidP="00316A6E">
            <w:pPr>
              <w:spacing w:before="120" w:after="120"/>
              <w:rPr>
                <w:sz w:val="14"/>
                <w:szCs w:val="14"/>
              </w:rPr>
            </w:pPr>
            <w:r w:rsidRPr="001172A7">
              <w:rPr>
                <w:sz w:val="14"/>
                <w:szCs w:val="14"/>
              </w:rPr>
              <w:t>&lt;150 mg/kg</w:t>
            </w:r>
          </w:p>
        </w:tc>
      </w:tr>
    </w:tbl>
    <w:p w14:paraId="1D59472F" w14:textId="050C9CF6" w:rsidR="00316A6E" w:rsidRDefault="00316A6E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</w:p>
    <w:p w14:paraId="290CB99A" w14:textId="791971DC" w:rsidR="003A16E3" w:rsidRPr="006A3A56" w:rsidRDefault="00941A4D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 w:rsidRPr="006A3A56">
        <w:rPr>
          <w:rFonts w:ascii="Times New Roman" w:hAnsi="Times New Roman"/>
          <w:sz w:val="22"/>
          <w:lang w:val="en-GB"/>
        </w:rPr>
        <w:t>One environmental permit, incident or register</w:t>
      </w:r>
      <w:r w:rsidR="003A16E3" w:rsidRPr="006A3A56">
        <w:rPr>
          <w:rFonts w:ascii="Times New Roman" w:hAnsi="Times New Roman"/>
          <w:sz w:val="22"/>
          <w:lang w:val="en-GB"/>
        </w:rPr>
        <w:t xml:space="preserve"> </w:t>
      </w:r>
      <w:r w:rsidRPr="006A3A56">
        <w:rPr>
          <w:rFonts w:ascii="Times New Roman" w:hAnsi="Times New Roman"/>
          <w:sz w:val="22"/>
          <w:lang w:val="en-GB"/>
        </w:rPr>
        <w:t xml:space="preserve">was reported </w:t>
      </w:r>
      <w:r w:rsidR="00A41AB5">
        <w:rPr>
          <w:rFonts w:ascii="Times New Roman" w:hAnsi="Times New Roman"/>
          <w:sz w:val="22"/>
          <w:lang w:val="en-GB"/>
        </w:rPr>
        <w:t>at the field trial site</w:t>
      </w:r>
      <w:r w:rsidR="00755291" w:rsidRPr="006A3A56">
        <w:rPr>
          <w:rFonts w:ascii="Times New Roman" w:hAnsi="Times New Roman"/>
          <w:sz w:val="22"/>
          <w:lang w:val="en-GB"/>
        </w:rPr>
        <w:t>, though it was not stated what the report related to</w:t>
      </w:r>
      <w:r w:rsidR="001C4706" w:rsidRPr="006A3A56">
        <w:rPr>
          <w:rFonts w:ascii="Times New Roman" w:hAnsi="Times New Roman"/>
          <w:sz w:val="22"/>
          <w:lang w:val="en-GB"/>
        </w:rPr>
        <w:t xml:space="preserve"> (Table S</w:t>
      </w:r>
      <w:r w:rsidR="00FA11D5">
        <w:rPr>
          <w:rFonts w:ascii="Times New Roman" w:hAnsi="Times New Roman"/>
          <w:sz w:val="22"/>
          <w:lang w:val="en-GB"/>
        </w:rPr>
        <w:t>2</w:t>
      </w:r>
      <w:r w:rsidRPr="006A3A56">
        <w:rPr>
          <w:rFonts w:ascii="Times New Roman" w:hAnsi="Times New Roman"/>
          <w:sz w:val="22"/>
          <w:lang w:val="en-GB"/>
        </w:rPr>
        <w:t>.</w:t>
      </w:r>
      <w:r w:rsidR="00A41AB5">
        <w:rPr>
          <w:rFonts w:ascii="Times New Roman" w:hAnsi="Times New Roman"/>
          <w:sz w:val="22"/>
          <w:lang w:val="en-GB"/>
        </w:rPr>
        <w:t>2</w:t>
      </w:r>
      <w:r w:rsidR="003A16E3" w:rsidRPr="006A3A56">
        <w:rPr>
          <w:rFonts w:ascii="Times New Roman" w:hAnsi="Times New Roman"/>
          <w:sz w:val="22"/>
          <w:lang w:val="en-GB"/>
        </w:rPr>
        <w:t>). There are no abstraction licenses within 2</w:t>
      </w:r>
      <w:r w:rsidR="00A41AB5">
        <w:rPr>
          <w:rFonts w:ascii="Times New Roman" w:hAnsi="Times New Roman"/>
          <w:sz w:val="22"/>
          <w:lang w:val="en-GB"/>
        </w:rPr>
        <w:t>,</w:t>
      </w:r>
      <w:r w:rsidR="003A16E3" w:rsidRPr="006A3A56">
        <w:rPr>
          <w:rFonts w:ascii="Times New Roman" w:hAnsi="Times New Roman"/>
          <w:sz w:val="22"/>
          <w:lang w:val="en-GB"/>
        </w:rPr>
        <w:t xml:space="preserve">000 m of the </w:t>
      </w:r>
      <w:r w:rsidR="00E431A4">
        <w:rPr>
          <w:rFonts w:ascii="Times New Roman" w:hAnsi="Times New Roman"/>
          <w:sz w:val="22"/>
          <w:lang w:val="en-GB"/>
        </w:rPr>
        <w:t>site</w:t>
      </w:r>
      <w:r w:rsidR="003A16E3" w:rsidRPr="006A3A56">
        <w:rPr>
          <w:rFonts w:ascii="Times New Roman" w:hAnsi="Times New Roman"/>
          <w:sz w:val="22"/>
          <w:lang w:val="en-GB"/>
        </w:rPr>
        <w:t xml:space="preserve"> and there are no 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 xml:space="preserve">Source Protection Zones (SPZs) within 500 m of the </w:t>
      </w:r>
      <w:r w:rsidR="00E431A4">
        <w:rPr>
          <w:rFonts w:ascii="Times New Roman" w:hAnsi="Times New Roman"/>
          <w:sz w:val="22"/>
          <w:szCs w:val="22"/>
          <w:lang w:val="en-GB"/>
        </w:rPr>
        <w:t>site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>, a</w:t>
      </w:r>
      <w:r w:rsidR="003A16E3" w:rsidRPr="006A3A56">
        <w:rPr>
          <w:rFonts w:ascii="Times New Roman" w:hAnsi="Times New Roman"/>
          <w:sz w:val="22"/>
          <w:lang w:val="en-GB"/>
        </w:rPr>
        <w:t xml:space="preserve">lthough there are aquifers present within superficial and bedrock deposits at the </w:t>
      </w:r>
      <w:r w:rsidR="00E431A4">
        <w:rPr>
          <w:rFonts w:ascii="Times New Roman" w:hAnsi="Times New Roman"/>
          <w:sz w:val="22"/>
          <w:lang w:val="en-GB"/>
        </w:rPr>
        <w:t>site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>. One river</w:t>
      </w:r>
      <w:r w:rsidR="00EF1026" w:rsidRPr="006A3A56">
        <w:rPr>
          <w:rFonts w:ascii="Times New Roman" w:hAnsi="Times New Roman"/>
          <w:sz w:val="22"/>
          <w:szCs w:val="22"/>
          <w:lang w:val="en-GB"/>
        </w:rPr>
        <w:t xml:space="preserve"> (River Taff)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 xml:space="preserve"> is present at the </w:t>
      </w:r>
      <w:r w:rsidR="00E431A4">
        <w:rPr>
          <w:rFonts w:ascii="Times New Roman" w:hAnsi="Times New Roman"/>
          <w:sz w:val="22"/>
          <w:szCs w:val="22"/>
          <w:lang w:val="en-GB"/>
        </w:rPr>
        <w:t>site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 xml:space="preserve"> and field trial plots are located within Environment Agency indicative zone 2 and 3 floodplains. BGS ground water flooding susceptibility is very high for the </w:t>
      </w:r>
      <w:r w:rsidR="00E431A4">
        <w:rPr>
          <w:rFonts w:ascii="Times New Roman" w:hAnsi="Times New Roman"/>
          <w:sz w:val="22"/>
          <w:szCs w:val="22"/>
          <w:lang w:val="en-GB"/>
        </w:rPr>
        <w:t>site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6A3A56">
        <w:rPr>
          <w:rFonts w:ascii="Times New Roman" w:hAnsi="Times New Roman"/>
          <w:sz w:val="22"/>
          <w:szCs w:val="22"/>
          <w:lang w:val="en-GB"/>
        </w:rPr>
        <w:t xml:space="preserve">There are no environmentally sensitive site designations for </w:t>
      </w:r>
      <w:r w:rsidR="00E431A4">
        <w:rPr>
          <w:rFonts w:ascii="Times New Roman" w:hAnsi="Times New Roman"/>
          <w:sz w:val="22"/>
          <w:szCs w:val="22"/>
          <w:lang w:val="en-GB"/>
        </w:rPr>
        <w:t>site</w:t>
      </w:r>
      <w:r w:rsidR="00916888">
        <w:rPr>
          <w:rFonts w:ascii="Times New Roman" w:hAnsi="Times New Roman"/>
          <w:sz w:val="22"/>
          <w:szCs w:val="22"/>
          <w:lang w:val="en-GB"/>
        </w:rPr>
        <w:t xml:space="preserve"> 1</w:t>
      </w:r>
      <w:r w:rsidRPr="006A3A56">
        <w:rPr>
          <w:rFonts w:ascii="Times New Roman" w:hAnsi="Times New Roman"/>
          <w:sz w:val="22"/>
          <w:szCs w:val="22"/>
          <w:lang w:val="en-GB"/>
        </w:rPr>
        <w:t xml:space="preserve">. Ground subsidence risk is moderate. </w:t>
      </w:r>
    </w:p>
    <w:p w14:paraId="6D887071" w14:textId="3B2284BF" w:rsidR="00316A6E" w:rsidRDefault="00316A6E" w:rsidP="00975BFF">
      <w:pPr>
        <w:pStyle w:val="Body"/>
        <w:spacing w:line="276" w:lineRule="auto"/>
        <w:jc w:val="both"/>
        <w:rPr>
          <w:rFonts w:ascii="Times New Roman" w:hAnsi="Times New Roman"/>
          <w:b/>
          <w:sz w:val="22"/>
          <w:lang w:val="en-GB"/>
        </w:rPr>
      </w:pPr>
    </w:p>
    <w:p w14:paraId="364B7266" w14:textId="077072D3" w:rsidR="00F24A57" w:rsidRDefault="00F24A57" w:rsidP="00975BFF">
      <w:pPr>
        <w:pStyle w:val="Body"/>
        <w:spacing w:line="276" w:lineRule="auto"/>
        <w:jc w:val="both"/>
        <w:rPr>
          <w:rFonts w:ascii="Times New Roman" w:hAnsi="Times New Roman"/>
          <w:b/>
          <w:sz w:val="22"/>
          <w:lang w:val="en-GB"/>
        </w:rPr>
      </w:pPr>
    </w:p>
    <w:p w14:paraId="47F91BE9" w14:textId="77777777" w:rsidR="00F24A57" w:rsidRDefault="00F24A57" w:rsidP="00975BFF">
      <w:pPr>
        <w:pStyle w:val="Body"/>
        <w:spacing w:line="276" w:lineRule="auto"/>
        <w:jc w:val="both"/>
        <w:rPr>
          <w:rFonts w:ascii="Times New Roman" w:hAnsi="Times New Roman"/>
          <w:b/>
          <w:sz w:val="22"/>
          <w:lang w:val="en-GB"/>
        </w:rPr>
      </w:pPr>
    </w:p>
    <w:p w14:paraId="5E32E8D2" w14:textId="66F785A5" w:rsidR="004D5477" w:rsidRDefault="00FA11D5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lastRenderedPageBreak/>
        <w:t xml:space="preserve">Supplementary </w:t>
      </w:r>
      <w:r w:rsidR="001C4706" w:rsidRPr="006A3A56">
        <w:rPr>
          <w:rFonts w:ascii="Times New Roman" w:hAnsi="Times New Roman"/>
          <w:b/>
          <w:sz w:val="22"/>
          <w:lang w:val="en-GB"/>
        </w:rPr>
        <w:t>Table S</w:t>
      </w:r>
      <w:r w:rsidR="004E48AD">
        <w:rPr>
          <w:rFonts w:ascii="Times New Roman" w:hAnsi="Times New Roman"/>
          <w:b/>
          <w:sz w:val="22"/>
          <w:lang w:val="en-GB"/>
        </w:rPr>
        <w:t>1</w:t>
      </w:r>
      <w:r w:rsidR="003A16E3" w:rsidRPr="006A3A56">
        <w:rPr>
          <w:rFonts w:ascii="Times New Roman" w:hAnsi="Times New Roman"/>
          <w:b/>
          <w:sz w:val="22"/>
          <w:lang w:val="en-GB"/>
        </w:rPr>
        <w:t>.</w:t>
      </w:r>
      <w:r w:rsidR="00A41AB5">
        <w:rPr>
          <w:rFonts w:ascii="Times New Roman" w:hAnsi="Times New Roman"/>
          <w:b/>
          <w:sz w:val="22"/>
          <w:lang w:val="en-GB"/>
        </w:rPr>
        <w:t>2</w:t>
      </w:r>
      <w:r w:rsidR="003A16E3" w:rsidRPr="006A3A56">
        <w:rPr>
          <w:rFonts w:ascii="Times New Roman" w:hAnsi="Times New Roman"/>
          <w:b/>
          <w:sz w:val="22"/>
          <w:lang w:val="en-GB"/>
        </w:rPr>
        <w:t xml:space="preserve"> </w:t>
      </w:r>
      <w:r w:rsidR="003A16E3" w:rsidRPr="006A3A56">
        <w:rPr>
          <w:rFonts w:ascii="Times New Roman" w:hAnsi="Times New Roman"/>
          <w:sz w:val="22"/>
          <w:lang w:val="en-GB"/>
        </w:rPr>
        <w:t>Summary of</w:t>
      </w:r>
      <w:r w:rsidR="00A41AB5">
        <w:rPr>
          <w:rFonts w:ascii="Times New Roman" w:hAnsi="Times New Roman"/>
          <w:sz w:val="22"/>
          <w:lang w:val="en-GB"/>
        </w:rPr>
        <w:t xml:space="preserve"> IRC</w:t>
      </w:r>
      <w:r w:rsidR="003A16E3" w:rsidRPr="006A3A56">
        <w:rPr>
          <w:rFonts w:ascii="Times New Roman" w:hAnsi="Times New Roman"/>
          <w:sz w:val="22"/>
          <w:lang w:val="en-GB"/>
        </w:rPr>
        <w:t xml:space="preserve"> GroundSure Enviro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>Insight</w:t>
      </w:r>
      <w:r w:rsidR="003A16E3"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®</w:t>
      </w:r>
      <w:r w:rsidR="003A16E3" w:rsidRPr="006A3A5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A16E3" w:rsidRPr="006A3A56">
        <w:rPr>
          <w:rFonts w:ascii="Times New Roman" w:hAnsi="Times New Roman"/>
          <w:sz w:val="22"/>
          <w:lang w:val="en-GB"/>
        </w:rPr>
        <w:t>report.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985"/>
      </w:tblGrid>
      <w:tr w:rsidR="001172A7" w:rsidRPr="00E566E9" w14:paraId="19CDBF0C" w14:textId="77777777" w:rsidTr="00E566E9">
        <w:trPr>
          <w:jc w:val="center"/>
        </w:trPr>
        <w:tc>
          <w:tcPr>
            <w:tcW w:w="1985" w:type="dxa"/>
            <w:tcBorders>
              <w:right w:val="nil"/>
            </w:tcBorders>
            <w:shd w:val="clear" w:color="auto" w:fill="BFBFBF" w:themeFill="background1" w:themeFillShade="BF"/>
          </w:tcPr>
          <w:p w14:paraId="0734B327" w14:textId="77777777" w:rsidR="001172A7" w:rsidRPr="00E566E9" w:rsidRDefault="001172A7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Report Section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BFBFBF" w:themeFill="background1" w:themeFillShade="BF"/>
          </w:tcPr>
          <w:p w14:paraId="0BC9A35B" w14:textId="77777777" w:rsidR="001172A7" w:rsidRPr="00E566E9" w:rsidRDefault="001172A7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18C98C6" w14:textId="77777777" w:rsidR="001172A7" w:rsidRPr="00E566E9" w:rsidRDefault="001172A7" w:rsidP="001172A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Description</w:t>
            </w:r>
          </w:p>
        </w:tc>
      </w:tr>
      <w:tr w:rsidR="001172A7" w:rsidRPr="00E566E9" w14:paraId="7C74CCCD" w14:textId="77777777" w:rsidTr="00E566E9">
        <w:trPr>
          <w:jc w:val="center"/>
        </w:trPr>
        <w:tc>
          <w:tcPr>
            <w:tcW w:w="1985" w:type="dxa"/>
          </w:tcPr>
          <w:p w14:paraId="0526DE0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Environmental Permits, Incidents and Registers</w:t>
            </w:r>
          </w:p>
        </w:tc>
        <w:tc>
          <w:tcPr>
            <w:tcW w:w="5103" w:type="dxa"/>
          </w:tcPr>
          <w:p w14:paraId="3F2105B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Environmental Permits, Incidents and Registers at study site</w:t>
            </w:r>
          </w:p>
        </w:tc>
        <w:tc>
          <w:tcPr>
            <w:tcW w:w="1985" w:type="dxa"/>
          </w:tcPr>
          <w:p w14:paraId="70E42BE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1</w:t>
            </w:r>
          </w:p>
        </w:tc>
      </w:tr>
      <w:tr w:rsidR="001172A7" w:rsidRPr="00E566E9" w14:paraId="217C01C6" w14:textId="77777777" w:rsidTr="00E566E9">
        <w:trPr>
          <w:jc w:val="center"/>
        </w:trPr>
        <w:tc>
          <w:tcPr>
            <w:tcW w:w="1985" w:type="dxa"/>
            <w:vMerge w:val="restart"/>
          </w:tcPr>
          <w:p w14:paraId="27E1C1C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Hydrogeology and Hydrology</w:t>
            </w:r>
          </w:p>
        </w:tc>
        <w:tc>
          <w:tcPr>
            <w:tcW w:w="5103" w:type="dxa"/>
          </w:tcPr>
          <w:p w14:paraId="1AD4633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Aquifer present within Superficial Deposits</w:t>
            </w:r>
          </w:p>
        </w:tc>
        <w:tc>
          <w:tcPr>
            <w:tcW w:w="1985" w:type="dxa"/>
          </w:tcPr>
          <w:p w14:paraId="60EDE52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Secondary A</w:t>
            </w:r>
          </w:p>
        </w:tc>
      </w:tr>
      <w:tr w:rsidR="001172A7" w:rsidRPr="00E566E9" w14:paraId="733E8A20" w14:textId="77777777" w:rsidTr="00E566E9">
        <w:trPr>
          <w:jc w:val="center"/>
        </w:trPr>
        <w:tc>
          <w:tcPr>
            <w:tcW w:w="1985" w:type="dxa"/>
            <w:vMerge/>
          </w:tcPr>
          <w:p w14:paraId="2D5CDA27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E29E01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Aquifer present within Bedrock Deposits</w:t>
            </w:r>
          </w:p>
        </w:tc>
        <w:tc>
          <w:tcPr>
            <w:tcW w:w="1985" w:type="dxa"/>
          </w:tcPr>
          <w:p w14:paraId="0787792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Principal Aquifer</w:t>
            </w:r>
          </w:p>
        </w:tc>
      </w:tr>
      <w:tr w:rsidR="001172A7" w:rsidRPr="00E566E9" w14:paraId="73FEE468" w14:textId="77777777" w:rsidTr="00E566E9">
        <w:trPr>
          <w:jc w:val="center"/>
        </w:trPr>
        <w:tc>
          <w:tcPr>
            <w:tcW w:w="1985" w:type="dxa"/>
            <w:vMerge/>
          </w:tcPr>
          <w:p w14:paraId="4145F518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3D8832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Groundwater Abstraction Licences (within 2000m of the study site)</w:t>
            </w:r>
          </w:p>
        </w:tc>
        <w:tc>
          <w:tcPr>
            <w:tcW w:w="1985" w:type="dxa"/>
          </w:tcPr>
          <w:p w14:paraId="142BEBB9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1801A157" w14:textId="77777777" w:rsidTr="00E566E9">
        <w:trPr>
          <w:jc w:val="center"/>
        </w:trPr>
        <w:tc>
          <w:tcPr>
            <w:tcW w:w="1985" w:type="dxa"/>
            <w:vMerge/>
          </w:tcPr>
          <w:p w14:paraId="148D5F92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E982C3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Surface Water Abstraction Licences (within 2000m of the study site)</w:t>
            </w:r>
          </w:p>
        </w:tc>
        <w:tc>
          <w:tcPr>
            <w:tcW w:w="1985" w:type="dxa"/>
          </w:tcPr>
          <w:p w14:paraId="7EE450E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49080F0B" w14:textId="77777777" w:rsidTr="00E566E9">
        <w:trPr>
          <w:jc w:val="center"/>
        </w:trPr>
        <w:tc>
          <w:tcPr>
            <w:tcW w:w="1985" w:type="dxa"/>
            <w:vMerge/>
          </w:tcPr>
          <w:p w14:paraId="11974938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73E0AF2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Potable Water Abstraction Licences (within 2000m of the study site)</w:t>
            </w:r>
          </w:p>
        </w:tc>
        <w:tc>
          <w:tcPr>
            <w:tcW w:w="1985" w:type="dxa"/>
          </w:tcPr>
          <w:p w14:paraId="0DAD3648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1EC3B5F7" w14:textId="77777777" w:rsidTr="00E566E9">
        <w:trPr>
          <w:jc w:val="center"/>
        </w:trPr>
        <w:tc>
          <w:tcPr>
            <w:tcW w:w="1985" w:type="dxa"/>
            <w:vMerge/>
          </w:tcPr>
          <w:p w14:paraId="5535FD4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3415B7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Source Protection Zones within 500m of the study site?</w:t>
            </w:r>
          </w:p>
        </w:tc>
        <w:tc>
          <w:tcPr>
            <w:tcW w:w="1985" w:type="dxa"/>
          </w:tcPr>
          <w:p w14:paraId="4D5DB3B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No</w:t>
            </w:r>
          </w:p>
        </w:tc>
      </w:tr>
      <w:tr w:rsidR="001172A7" w:rsidRPr="00E566E9" w14:paraId="6FD00745" w14:textId="77777777" w:rsidTr="00E566E9">
        <w:trPr>
          <w:jc w:val="center"/>
        </w:trPr>
        <w:tc>
          <w:tcPr>
            <w:tcW w:w="1985" w:type="dxa"/>
          </w:tcPr>
          <w:p w14:paraId="552899B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Hydrology – Detailed River Network and River Quality</w:t>
            </w:r>
          </w:p>
        </w:tc>
        <w:tc>
          <w:tcPr>
            <w:tcW w:w="5103" w:type="dxa"/>
          </w:tcPr>
          <w:p w14:paraId="119D411F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Rivers present at study site?</w:t>
            </w:r>
          </w:p>
        </w:tc>
        <w:tc>
          <w:tcPr>
            <w:tcW w:w="1985" w:type="dxa"/>
          </w:tcPr>
          <w:p w14:paraId="58D7F49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1</w:t>
            </w:r>
          </w:p>
        </w:tc>
      </w:tr>
      <w:tr w:rsidR="001172A7" w:rsidRPr="00E566E9" w14:paraId="57C62950" w14:textId="77777777" w:rsidTr="00E566E9">
        <w:trPr>
          <w:jc w:val="center"/>
        </w:trPr>
        <w:tc>
          <w:tcPr>
            <w:tcW w:w="1985" w:type="dxa"/>
            <w:vMerge w:val="restart"/>
          </w:tcPr>
          <w:p w14:paraId="1AB3D2E9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Flooding</w:t>
            </w:r>
          </w:p>
        </w:tc>
        <w:tc>
          <w:tcPr>
            <w:tcW w:w="5103" w:type="dxa"/>
          </w:tcPr>
          <w:p w14:paraId="7FAEFD6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Environment Agency indicative Zone 2 floodplains within 250m of the study site?</w:t>
            </w:r>
          </w:p>
        </w:tc>
        <w:tc>
          <w:tcPr>
            <w:tcW w:w="1985" w:type="dxa"/>
          </w:tcPr>
          <w:p w14:paraId="773C1A3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Yes</w:t>
            </w:r>
          </w:p>
        </w:tc>
      </w:tr>
      <w:tr w:rsidR="001172A7" w:rsidRPr="00E566E9" w14:paraId="282F0E28" w14:textId="77777777" w:rsidTr="00E566E9">
        <w:trPr>
          <w:jc w:val="center"/>
        </w:trPr>
        <w:tc>
          <w:tcPr>
            <w:tcW w:w="1985" w:type="dxa"/>
            <w:vMerge/>
          </w:tcPr>
          <w:p w14:paraId="682BB59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6FE2E97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Environment Agency indicative Zone 3 floodplains within 250m of the study site?</w:t>
            </w:r>
          </w:p>
        </w:tc>
        <w:tc>
          <w:tcPr>
            <w:tcW w:w="1985" w:type="dxa"/>
          </w:tcPr>
          <w:p w14:paraId="6F22E16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Yes</w:t>
            </w:r>
          </w:p>
        </w:tc>
      </w:tr>
      <w:tr w:rsidR="001172A7" w:rsidRPr="00E566E9" w14:paraId="3FCB4A76" w14:textId="77777777" w:rsidTr="00E566E9">
        <w:trPr>
          <w:jc w:val="center"/>
        </w:trPr>
        <w:tc>
          <w:tcPr>
            <w:tcW w:w="1985" w:type="dxa"/>
            <w:vMerge/>
          </w:tcPr>
          <w:p w14:paraId="303EDC3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7693E37A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Flood Defences within 250m of the study site?</w:t>
            </w:r>
          </w:p>
        </w:tc>
        <w:tc>
          <w:tcPr>
            <w:tcW w:w="1985" w:type="dxa"/>
          </w:tcPr>
          <w:p w14:paraId="228ABEE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No</w:t>
            </w:r>
          </w:p>
        </w:tc>
      </w:tr>
      <w:tr w:rsidR="001172A7" w:rsidRPr="00E566E9" w14:paraId="32FB4C0C" w14:textId="77777777" w:rsidTr="00E566E9">
        <w:trPr>
          <w:jc w:val="center"/>
        </w:trPr>
        <w:tc>
          <w:tcPr>
            <w:tcW w:w="1985" w:type="dxa"/>
            <w:vMerge/>
          </w:tcPr>
          <w:p w14:paraId="74F46BD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FD9917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areas benefiting from Flood Defences within 250m of the study site?</w:t>
            </w:r>
          </w:p>
        </w:tc>
        <w:tc>
          <w:tcPr>
            <w:tcW w:w="1985" w:type="dxa"/>
          </w:tcPr>
          <w:p w14:paraId="38AF2A6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No</w:t>
            </w:r>
          </w:p>
        </w:tc>
      </w:tr>
      <w:tr w:rsidR="001172A7" w:rsidRPr="00E566E9" w14:paraId="64C1EDBF" w14:textId="77777777" w:rsidTr="00E566E9">
        <w:trPr>
          <w:jc w:val="center"/>
        </w:trPr>
        <w:tc>
          <w:tcPr>
            <w:tcW w:w="1985" w:type="dxa"/>
            <w:vMerge/>
          </w:tcPr>
          <w:p w14:paraId="6DA147E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F4FE65E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Are there any areas used for Flood Storage within 250m of the study site?</w:t>
            </w:r>
          </w:p>
        </w:tc>
        <w:tc>
          <w:tcPr>
            <w:tcW w:w="1985" w:type="dxa"/>
          </w:tcPr>
          <w:p w14:paraId="17459DC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No</w:t>
            </w:r>
          </w:p>
        </w:tc>
      </w:tr>
      <w:tr w:rsidR="001172A7" w:rsidRPr="00E566E9" w14:paraId="398C348F" w14:textId="77777777" w:rsidTr="00E566E9">
        <w:trPr>
          <w:jc w:val="center"/>
        </w:trPr>
        <w:tc>
          <w:tcPr>
            <w:tcW w:w="1985" w:type="dxa"/>
            <w:vMerge/>
          </w:tcPr>
          <w:p w14:paraId="7ECAA328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EE22F8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What is the maximum BGS Groundwater Flooding susceptibility within 50m of the study site?</w:t>
            </w:r>
          </w:p>
        </w:tc>
        <w:tc>
          <w:tcPr>
            <w:tcW w:w="1985" w:type="dxa"/>
          </w:tcPr>
          <w:p w14:paraId="0645A9B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Very high</w:t>
            </w:r>
          </w:p>
        </w:tc>
      </w:tr>
      <w:tr w:rsidR="001172A7" w:rsidRPr="00E566E9" w14:paraId="6E84BAC8" w14:textId="77777777" w:rsidTr="00E566E9">
        <w:trPr>
          <w:jc w:val="center"/>
        </w:trPr>
        <w:tc>
          <w:tcPr>
            <w:tcW w:w="1985" w:type="dxa"/>
            <w:vMerge/>
          </w:tcPr>
          <w:p w14:paraId="52C9277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9FAFD8F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What is the BGS confidence rating for the Groundwater Flooding susceptibility areas?</w:t>
            </w:r>
          </w:p>
        </w:tc>
        <w:tc>
          <w:tcPr>
            <w:tcW w:w="1985" w:type="dxa"/>
          </w:tcPr>
          <w:p w14:paraId="7CDE12D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High</w:t>
            </w:r>
          </w:p>
        </w:tc>
      </w:tr>
      <w:tr w:rsidR="001172A7" w:rsidRPr="00E566E9" w14:paraId="6B48D79A" w14:textId="77777777" w:rsidTr="00E566E9">
        <w:trPr>
          <w:jc w:val="center"/>
        </w:trPr>
        <w:tc>
          <w:tcPr>
            <w:tcW w:w="1985" w:type="dxa"/>
            <w:vMerge w:val="restart"/>
          </w:tcPr>
          <w:p w14:paraId="74FE895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Designated Environmentally Sensitive Sites</w:t>
            </w:r>
          </w:p>
        </w:tc>
        <w:tc>
          <w:tcPr>
            <w:tcW w:w="5103" w:type="dxa"/>
          </w:tcPr>
          <w:p w14:paraId="63E86E4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Sites of Special Scientific Interest (SSSI)</w:t>
            </w:r>
          </w:p>
        </w:tc>
        <w:tc>
          <w:tcPr>
            <w:tcW w:w="1985" w:type="dxa"/>
          </w:tcPr>
          <w:p w14:paraId="66DA99B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7E335FF0" w14:textId="77777777" w:rsidTr="00E566E9">
        <w:trPr>
          <w:jc w:val="center"/>
        </w:trPr>
        <w:tc>
          <w:tcPr>
            <w:tcW w:w="1985" w:type="dxa"/>
            <w:vMerge/>
          </w:tcPr>
          <w:p w14:paraId="6484170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3A740032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National Nature Reserves (NNR)</w:t>
            </w:r>
          </w:p>
        </w:tc>
        <w:tc>
          <w:tcPr>
            <w:tcW w:w="1985" w:type="dxa"/>
          </w:tcPr>
          <w:p w14:paraId="0F384ECA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7A3ED837" w14:textId="77777777" w:rsidTr="00E566E9">
        <w:trPr>
          <w:jc w:val="center"/>
        </w:trPr>
        <w:tc>
          <w:tcPr>
            <w:tcW w:w="1985" w:type="dxa"/>
            <w:vMerge/>
          </w:tcPr>
          <w:p w14:paraId="13F4821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263032D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Sites of Special Scientific Interest (SSSI)</w:t>
            </w:r>
          </w:p>
        </w:tc>
        <w:tc>
          <w:tcPr>
            <w:tcW w:w="1985" w:type="dxa"/>
          </w:tcPr>
          <w:p w14:paraId="221AD3DF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4E3B26FF" w14:textId="77777777" w:rsidTr="00E566E9">
        <w:trPr>
          <w:jc w:val="center"/>
        </w:trPr>
        <w:tc>
          <w:tcPr>
            <w:tcW w:w="1985" w:type="dxa"/>
            <w:vMerge/>
          </w:tcPr>
          <w:p w14:paraId="57F9BDC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22F14DB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Local Nature Reserves (LNR)</w:t>
            </w:r>
          </w:p>
        </w:tc>
        <w:tc>
          <w:tcPr>
            <w:tcW w:w="1985" w:type="dxa"/>
          </w:tcPr>
          <w:p w14:paraId="1E3E11B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5C53D97E" w14:textId="77777777" w:rsidTr="00E566E9">
        <w:trPr>
          <w:jc w:val="center"/>
        </w:trPr>
        <w:tc>
          <w:tcPr>
            <w:tcW w:w="1985" w:type="dxa"/>
            <w:vMerge/>
          </w:tcPr>
          <w:p w14:paraId="4E53EC56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49E8812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Special Areas of Conservation (SAC)</w:t>
            </w:r>
          </w:p>
        </w:tc>
        <w:tc>
          <w:tcPr>
            <w:tcW w:w="1985" w:type="dxa"/>
          </w:tcPr>
          <w:p w14:paraId="50D6D26F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2DCD0A57" w14:textId="77777777" w:rsidTr="00E566E9">
        <w:trPr>
          <w:jc w:val="center"/>
        </w:trPr>
        <w:tc>
          <w:tcPr>
            <w:tcW w:w="1985" w:type="dxa"/>
            <w:vMerge/>
          </w:tcPr>
          <w:p w14:paraId="17CBA99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7B34DDA3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Special Protection Areas (SPA)</w:t>
            </w:r>
          </w:p>
        </w:tc>
        <w:tc>
          <w:tcPr>
            <w:tcW w:w="1985" w:type="dxa"/>
          </w:tcPr>
          <w:p w14:paraId="3627BEB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43691B6B" w14:textId="77777777" w:rsidTr="00E566E9">
        <w:trPr>
          <w:jc w:val="center"/>
        </w:trPr>
        <w:tc>
          <w:tcPr>
            <w:tcW w:w="1985" w:type="dxa"/>
            <w:vMerge/>
          </w:tcPr>
          <w:p w14:paraId="2E126F7E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144BFDF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Ramsar sites</w:t>
            </w:r>
          </w:p>
        </w:tc>
        <w:tc>
          <w:tcPr>
            <w:tcW w:w="1985" w:type="dxa"/>
          </w:tcPr>
          <w:p w14:paraId="425B4B6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6AB26349" w14:textId="77777777" w:rsidTr="00E566E9">
        <w:trPr>
          <w:jc w:val="center"/>
        </w:trPr>
        <w:tc>
          <w:tcPr>
            <w:tcW w:w="1985" w:type="dxa"/>
            <w:vMerge/>
          </w:tcPr>
          <w:p w14:paraId="324D9FA7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66F2A3F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World Heritage Sites</w:t>
            </w:r>
          </w:p>
        </w:tc>
        <w:tc>
          <w:tcPr>
            <w:tcW w:w="1985" w:type="dxa"/>
          </w:tcPr>
          <w:p w14:paraId="0588C32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4B6520DE" w14:textId="77777777" w:rsidTr="00E566E9">
        <w:trPr>
          <w:jc w:val="center"/>
        </w:trPr>
        <w:tc>
          <w:tcPr>
            <w:tcW w:w="1985" w:type="dxa"/>
            <w:vMerge/>
          </w:tcPr>
          <w:p w14:paraId="5897DE5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53A260B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Environmentally Sensitive Areas</w:t>
            </w:r>
          </w:p>
        </w:tc>
        <w:tc>
          <w:tcPr>
            <w:tcW w:w="1985" w:type="dxa"/>
          </w:tcPr>
          <w:p w14:paraId="32D25DCC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55C0EE32" w14:textId="77777777" w:rsidTr="00E566E9">
        <w:trPr>
          <w:jc w:val="center"/>
        </w:trPr>
        <w:tc>
          <w:tcPr>
            <w:tcW w:w="1985" w:type="dxa"/>
            <w:vMerge/>
          </w:tcPr>
          <w:p w14:paraId="01AAC29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0EF8ABF9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Areas of Outstanding Natural Beauty (AONB)</w:t>
            </w:r>
          </w:p>
        </w:tc>
        <w:tc>
          <w:tcPr>
            <w:tcW w:w="1985" w:type="dxa"/>
          </w:tcPr>
          <w:p w14:paraId="74EA2601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0B136E1F" w14:textId="77777777" w:rsidTr="00E566E9">
        <w:trPr>
          <w:jc w:val="center"/>
        </w:trPr>
        <w:tc>
          <w:tcPr>
            <w:tcW w:w="1985" w:type="dxa"/>
            <w:vMerge/>
          </w:tcPr>
          <w:p w14:paraId="657EDB7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4EB736C2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National Parks</w:t>
            </w:r>
          </w:p>
        </w:tc>
        <w:tc>
          <w:tcPr>
            <w:tcW w:w="1985" w:type="dxa"/>
          </w:tcPr>
          <w:p w14:paraId="65BC7CFA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3F6EF8A6" w14:textId="77777777" w:rsidTr="00E566E9">
        <w:trPr>
          <w:jc w:val="center"/>
        </w:trPr>
        <w:tc>
          <w:tcPr>
            <w:tcW w:w="1985" w:type="dxa"/>
            <w:vMerge/>
          </w:tcPr>
          <w:p w14:paraId="037452F0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209E7318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Nitrate Sensitive Areas</w:t>
            </w:r>
          </w:p>
        </w:tc>
        <w:tc>
          <w:tcPr>
            <w:tcW w:w="1985" w:type="dxa"/>
          </w:tcPr>
          <w:p w14:paraId="79B2122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15B4C99B" w14:textId="77777777" w:rsidTr="00E566E9">
        <w:trPr>
          <w:jc w:val="center"/>
        </w:trPr>
        <w:tc>
          <w:tcPr>
            <w:tcW w:w="1985" w:type="dxa"/>
            <w:vMerge/>
          </w:tcPr>
          <w:p w14:paraId="1F45BEAA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14:paraId="51B048BD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Records of Nitrate Vulnerable Zones</w:t>
            </w:r>
          </w:p>
        </w:tc>
        <w:tc>
          <w:tcPr>
            <w:tcW w:w="1985" w:type="dxa"/>
          </w:tcPr>
          <w:p w14:paraId="72E35159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0</w:t>
            </w:r>
          </w:p>
        </w:tc>
      </w:tr>
      <w:tr w:rsidR="001172A7" w:rsidRPr="00E566E9" w14:paraId="3A18356F" w14:textId="77777777" w:rsidTr="00E566E9">
        <w:trPr>
          <w:jc w:val="center"/>
        </w:trPr>
        <w:tc>
          <w:tcPr>
            <w:tcW w:w="1985" w:type="dxa"/>
          </w:tcPr>
          <w:p w14:paraId="53A705F7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b/>
                <w:sz w:val="14"/>
                <w:szCs w:val="14"/>
              </w:rPr>
              <w:t>Natural Hazards</w:t>
            </w:r>
          </w:p>
        </w:tc>
        <w:tc>
          <w:tcPr>
            <w:tcW w:w="5103" w:type="dxa"/>
          </w:tcPr>
          <w:p w14:paraId="499CB995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What is the maximum risk of natural ground subsidence?</w:t>
            </w:r>
          </w:p>
        </w:tc>
        <w:tc>
          <w:tcPr>
            <w:tcW w:w="1985" w:type="dxa"/>
          </w:tcPr>
          <w:p w14:paraId="1C8875B4" w14:textId="77777777" w:rsidR="001172A7" w:rsidRPr="00E566E9" w:rsidRDefault="001172A7" w:rsidP="001172A7">
            <w:pPr>
              <w:spacing w:before="120" w:after="120"/>
              <w:rPr>
                <w:sz w:val="14"/>
                <w:szCs w:val="14"/>
              </w:rPr>
            </w:pPr>
            <w:r w:rsidRPr="00E566E9">
              <w:rPr>
                <w:sz w:val="14"/>
                <w:szCs w:val="14"/>
              </w:rPr>
              <w:t>Moderate</w:t>
            </w:r>
          </w:p>
        </w:tc>
      </w:tr>
    </w:tbl>
    <w:p w14:paraId="75E280D0" w14:textId="77777777" w:rsidR="00155AA0" w:rsidRPr="006A3A56" w:rsidRDefault="00155AA0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</w:p>
    <w:p w14:paraId="522C5522" w14:textId="7AA0FDE2" w:rsidR="006A3A56" w:rsidRDefault="004F7582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 w:rsidRPr="006A3A56">
        <w:rPr>
          <w:rFonts w:ascii="Times New Roman" w:hAnsi="Times New Roman"/>
          <w:sz w:val="22"/>
          <w:lang w:val="en-GB"/>
        </w:rPr>
        <w:lastRenderedPageBreak/>
        <w:t xml:space="preserve">National Flood Risk Assessment Flood Rating (NaFRA) was reported as moderate for </w:t>
      </w:r>
      <w:r w:rsidR="00A41AB5">
        <w:rPr>
          <w:rFonts w:ascii="Times New Roman" w:hAnsi="Times New Roman"/>
          <w:sz w:val="22"/>
          <w:lang w:val="en-GB"/>
        </w:rPr>
        <w:t>the field trial site</w:t>
      </w:r>
      <w:r w:rsidR="00FA11D5">
        <w:rPr>
          <w:rFonts w:ascii="Times New Roman" w:hAnsi="Times New Roman"/>
          <w:sz w:val="22"/>
          <w:lang w:val="en-GB"/>
        </w:rPr>
        <w:t xml:space="preserve"> (Table S2</w:t>
      </w:r>
      <w:r w:rsidRPr="006A3A56">
        <w:rPr>
          <w:rFonts w:ascii="Times New Roman" w:hAnsi="Times New Roman"/>
          <w:sz w:val="22"/>
          <w:lang w:val="en-GB"/>
        </w:rPr>
        <w:t>.</w:t>
      </w:r>
      <w:r w:rsidR="00A41AB5">
        <w:rPr>
          <w:rFonts w:ascii="Times New Roman" w:hAnsi="Times New Roman"/>
          <w:sz w:val="22"/>
          <w:lang w:val="en-GB"/>
        </w:rPr>
        <w:t>3</w:t>
      </w:r>
      <w:r w:rsidRPr="006A3A56">
        <w:rPr>
          <w:rFonts w:ascii="Times New Roman" w:hAnsi="Times New Roman"/>
          <w:sz w:val="22"/>
          <w:lang w:val="en-GB"/>
        </w:rPr>
        <w:t xml:space="preserve">). Further, the Environment Agency and BGS have recorded historic pluvial and ground water flooding at the </w:t>
      </w:r>
      <w:r w:rsidR="00E431A4">
        <w:rPr>
          <w:rFonts w:ascii="Times New Roman" w:hAnsi="Times New Roman"/>
          <w:sz w:val="22"/>
          <w:lang w:val="en-GB"/>
        </w:rPr>
        <w:t>site</w:t>
      </w:r>
      <w:r w:rsidRPr="006A3A56">
        <w:rPr>
          <w:rFonts w:ascii="Times New Roman" w:hAnsi="Times New Roman"/>
          <w:sz w:val="22"/>
          <w:lang w:val="en-GB"/>
        </w:rPr>
        <w:t>.</w:t>
      </w:r>
    </w:p>
    <w:p w14:paraId="7BC0404F" w14:textId="77777777" w:rsidR="00E566E9" w:rsidRDefault="00E566E9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</w:p>
    <w:p w14:paraId="33BFE6F5" w14:textId="5F9DDD27" w:rsidR="004D5477" w:rsidRDefault="00FA11D5" w:rsidP="00975BFF">
      <w:pPr>
        <w:pStyle w:val="Body"/>
        <w:spacing w:line="276" w:lineRule="auto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Supplementary </w:t>
      </w:r>
      <w:r w:rsidR="001C4706" w:rsidRPr="006A3A56">
        <w:rPr>
          <w:rFonts w:ascii="Times New Roman" w:hAnsi="Times New Roman"/>
          <w:b/>
          <w:sz w:val="22"/>
          <w:lang w:val="en-GB"/>
        </w:rPr>
        <w:t>Table S</w:t>
      </w:r>
      <w:r w:rsidR="004E48AD">
        <w:rPr>
          <w:rFonts w:ascii="Times New Roman" w:hAnsi="Times New Roman"/>
          <w:b/>
          <w:sz w:val="22"/>
          <w:lang w:val="en-GB"/>
        </w:rPr>
        <w:t>1</w:t>
      </w:r>
      <w:r w:rsidR="00941A4D" w:rsidRPr="006A3A56">
        <w:rPr>
          <w:rFonts w:ascii="Times New Roman" w:hAnsi="Times New Roman"/>
          <w:b/>
          <w:sz w:val="22"/>
          <w:lang w:val="en-GB"/>
        </w:rPr>
        <w:t>.</w:t>
      </w:r>
      <w:r w:rsidR="00A41AB5">
        <w:rPr>
          <w:rFonts w:ascii="Times New Roman" w:hAnsi="Times New Roman"/>
          <w:b/>
          <w:sz w:val="22"/>
          <w:lang w:val="en-GB"/>
        </w:rPr>
        <w:t>3</w:t>
      </w:r>
      <w:r w:rsidR="00941A4D" w:rsidRPr="006A3A56">
        <w:rPr>
          <w:rFonts w:ascii="Times New Roman" w:hAnsi="Times New Roman"/>
          <w:b/>
          <w:sz w:val="22"/>
          <w:lang w:val="en-GB"/>
        </w:rPr>
        <w:t xml:space="preserve"> </w:t>
      </w:r>
      <w:r w:rsidR="00941A4D" w:rsidRPr="006A3A56">
        <w:rPr>
          <w:rFonts w:ascii="Times New Roman" w:hAnsi="Times New Roman"/>
          <w:sz w:val="22"/>
          <w:lang w:val="en-GB"/>
        </w:rPr>
        <w:t xml:space="preserve">Summary of </w:t>
      </w:r>
      <w:r w:rsidR="00A41AB5">
        <w:rPr>
          <w:rFonts w:ascii="Times New Roman" w:hAnsi="Times New Roman"/>
          <w:sz w:val="22"/>
          <w:lang w:val="en-GB"/>
        </w:rPr>
        <w:t>IRC</w:t>
      </w:r>
      <w:r w:rsidR="00941A4D" w:rsidRPr="006A3A56">
        <w:rPr>
          <w:rFonts w:ascii="Times New Roman" w:hAnsi="Times New Roman"/>
          <w:sz w:val="22"/>
          <w:lang w:val="en-GB"/>
        </w:rPr>
        <w:t xml:space="preserve"> GroundSure Flood</w:t>
      </w:r>
      <w:r w:rsidR="00941A4D" w:rsidRPr="006A3A56">
        <w:rPr>
          <w:rFonts w:ascii="Times New Roman" w:hAnsi="Times New Roman"/>
          <w:sz w:val="22"/>
          <w:szCs w:val="22"/>
          <w:lang w:val="en-GB"/>
        </w:rPr>
        <w:t>Insight</w:t>
      </w:r>
      <w:r w:rsidR="00941A4D" w:rsidRPr="006A3A56">
        <w:rPr>
          <w:rFonts w:ascii="Times New Roman" w:hAnsi="Times New Roman"/>
          <w:sz w:val="22"/>
          <w:szCs w:val="22"/>
          <w:vertAlign w:val="superscript"/>
          <w:lang w:val="en-GB"/>
        </w:rPr>
        <w:t>®</w:t>
      </w:r>
      <w:r w:rsidR="00941A4D" w:rsidRPr="006A3A5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41A4D" w:rsidRPr="006A3A56">
        <w:rPr>
          <w:rFonts w:ascii="Times New Roman" w:hAnsi="Times New Roman"/>
          <w:sz w:val="22"/>
          <w:lang w:val="en-GB"/>
        </w:rPr>
        <w:t>report.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566E9" w:rsidRPr="00287566" w14:paraId="2BA811E1" w14:textId="77777777" w:rsidTr="00E566E9">
        <w:trPr>
          <w:jc w:val="center"/>
        </w:trPr>
        <w:tc>
          <w:tcPr>
            <w:tcW w:w="3003" w:type="dxa"/>
            <w:tcBorders>
              <w:right w:val="nil"/>
            </w:tcBorders>
            <w:shd w:val="clear" w:color="auto" w:fill="BFBFBF" w:themeFill="background1" w:themeFillShade="BF"/>
          </w:tcPr>
          <w:p w14:paraId="76CE49F8" w14:textId="77777777" w:rsidR="00E566E9" w:rsidRPr="00287566" w:rsidRDefault="00E566E9" w:rsidP="00E566E9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Report Section</w:t>
            </w:r>
          </w:p>
        </w:tc>
        <w:tc>
          <w:tcPr>
            <w:tcW w:w="3003" w:type="dxa"/>
            <w:tcBorders>
              <w:left w:val="nil"/>
            </w:tcBorders>
            <w:shd w:val="clear" w:color="auto" w:fill="BFBFBF" w:themeFill="background1" w:themeFillShade="BF"/>
          </w:tcPr>
          <w:p w14:paraId="62F89D29" w14:textId="77777777" w:rsidR="00E566E9" w:rsidRPr="00287566" w:rsidRDefault="00E566E9" w:rsidP="00E566E9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14:paraId="76B227A6" w14:textId="77777777" w:rsidR="00E566E9" w:rsidRPr="00287566" w:rsidRDefault="00E566E9" w:rsidP="00E566E9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Description</w:t>
            </w:r>
          </w:p>
        </w:tc>
      </w:tr>
      <w:tr w:rsidR="00E566E9" w:rsidRPr="00287566" w14:paraId="75CE8431" w14:textId="77777777" w:rsidTr="00E566E9">
        <w:trPr>
          <w:jc w:val="center"/>
        </w:trPr>
        <w:tc>
          <w:tcPr>
            <w:tcW w:w="3003" w:type="dxa"/>
          </w:tcPr>
          <w:p w14:paraId="69C2A0E7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National Flood Risk Assessment (NaFRA)</w:t>
            </w:r>
          </w:p>
        </w:tc>
        <w:tc>
          <w:tcPr>
            <w:tcW w:w="3003" w:type="dxa"/>
          </w:tcPr>
          <w:p w14:paraId="6AA3B8A6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What is the National Flood Risk Assessment (NaFRA) Flood Rating for the study site?</w:t>
            </w:r>
          </w:p>
        </w:tc>
        <w:tc>
          <w:tcPr>
            <w:tcW w:w="3004" w:type="dxa"/>
          </w:tcPr>
          <w:p w14:paraId="25EFA660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Moderate</w:t>
            </w:r>
          </w:p>
        </w:tc>
      </w:tr>
      <w:tr w:rsidR="00E566E9" w:rsidRPr="00287566" w14:paraId="6FC067E3" w14:textId="77777777" w:rsidTr="00E566E9">
        <w:trPr>
          <w:jc w:val="center"/>
        </w:trPr>
        <w:tc>
          <w:tcPr>
            <w:tcW w:w="3003" w:type="dxa"/>
          </w:tcPr>
          <w:p w14:paraId="0EB24B68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Historic Flood Events</w:t>
            </w:r>
          </w:p>
        </w:tc>
        <w:tc>
          <w:tcPr>
            <w:tcW w:w="3003" w:type="dxa"/>
          </w:tcPr>
          <w:p w14:paraId="69039524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Has the site been subject to past flooding as recorded by the Environment Agency?</w:t>
            </w:r>
          </w:p>
        </w:tc>
        <w:tc>
          <w:tcPr>
            <w:tcW w:w="3004" w:type="dxa"/>
          </w:tcPr>
          <w:p w14:paraId="497D8767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Yes</w:t>
            </w:r>
          </w:p>
        </w:tc>
      </w:tr>
      <w:tr w:rsidR="00E566E9" w:rsidRPr="00287566" w14:paraId="601C1142" w14:textId="77777777" w:rsidTr="00E566E9">
        <w:trPr>
          <w:jc w:val="center"/>
        </w:trPr>
        <w:tc>
          <w:tcPr>
            <w:tcW w:w="3003" w:type="dxa"/>
          </w:tcPr>
          <w:p w14:paraId="435E57C4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Surface Water Floods</w:t>
            </w:r>
          </w:p>
        </w:tc>
        <w:tc>
          <w:tcPr>
            <w:tcW w:w="3003" w:type="dxa"/>
          </w:tcPr>
          <w:p w14:paraId="1559CE0D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Is the site or any area within 50m at risk of Surface Water (Pluvial) Flooding?</w:t>
            </w:r>
          </w:p>
        </w:tc>
        <w:tc>
          <w:tcPr>
            <w:tcW w:w="3004" w:type="dxa"/>
          </w:tcPr>
          <w:p w14:paraId="31428604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Yes</w:t>
            </w:r>
          </w:p>
        </w:tc>
      </w:tr>
      <w:tr w:rsidR="00E566E9" w:rsidRPr="00287566" w14:paraId="351CA0F7" w14:textId="77777777" w:rsidTr="00E566E9">
        <w:trPr>
          <w:jc w:val="center"/>
        </w:trPr>
        <w:tc>
          <w:tcPr>
            <w:tcW w:w="3003" w:type="dxa"/>
            <w:vMerge w:val="restart"/>
          </w:tcPr>
          <w:p w14:paraId="2FCEE798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Groundwater Flooding</w:t>
            </w:r>
          </w:p>
        </w:tc>
        <w:tc>
          <w:tcPr>
            <w:tcW w:w="3003" w:type="dxa"/>
          </w:tcPr>
          <w:p w14:paraId="2F978B29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What is the maximum BGS Groundwater Flooding susceptibility within 50m of the study site?</w:t>
            </w:r>
          </w:p>
        </w:tc>
        <w:tc>
          <w:tcPr>
            <w:tcW w:w="3004" w:type="dxa"/>
          </w:tcPr>
          <w:p w14:paraId="63C26EAC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Very High</w:t>
            </w:r>
          </w:p>
        </w:tc>
      </w:tr>
      <w:tr w:rsidR="00E566E9" w:rsidRPr="00287566" w14:paraId="663DE3DB" w14:textId="77777777" w:rsidTr="00E566E9">
        <w:trPr>
          <w:jc w:val="center"/>
        </w:trPr>
        <w:tc>
          <w:tcPr>
            <w:tcW w:w="3003" w:type="dxa"/>
            <w:vMerge/>
          </w:tcPr>
          <w:p w14:paraId="2657ED76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003" w:type="dxa"/>
          </w:tcPr>
          <w:p w14:paraId="163D9785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What is the BGS confidence rating for the Groundwater Flooding susceptibility areas?</w:t>
            </w:r>
          </w:p>
        </w:tc>
        <w:tc>
          <w:tcPr>
            <w:tcW w:w="3004" w:type="dxa"/>
          </w:tcPr>
          <w:p w14:paraId="53EA8003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High</w:t>
            </w:r>
          </w:p>
        </w:tc>
      </w:tr>
      <w:tr w:rsidR="00E566E9" w:rsidRPr="00287566" w14:paraId="4740ADC9" w14:textId="77777777" w:rsidTr="00E566E9">
        <w:trPr>
          <w:jc w:val="center"/>
        </w:trPr>
        <w:tc>
          <w:tcPr>
            <w:tcW w:w="3003" w:type="dxa"/>
          </w:tcPr>
          <w:p w14:paraId="6F5B308E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b/>
                <w:sz w:val="14"/>
                <w:szCs w:val="14"/>
              </w:rPr>
              <w:t>BGS Geological Indicators of historic flooding</w:t>
            </w:r>
          </w:p>
        </w:tc>
        <w:tc>
          <w:tcPr>
            <w:tcW w:w="3003" w:type="dxa"/>
          </w:tcPr>
          <w:p w14:paraId="1862BC49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Are there any geological indicators of historic flooding within 250m of the study site?</w:t>
            </w:r>
          </w:p>
        </w:tc>
        <w:tc>
          <w:tcPr>
            <w:tcW w:w="3004" w:type="dxa"/>
          </w:tcPr>
          <w:p w14:paraId="1EDE0A5F" w14:textId="77777777" w:rsidR="00E566E9" w:rsidRPr="00287566" w:rsidRDefault="00E566E9" w:rsidP="00E566E9">
            <w:pPr>
              <w:spacing w:before="120" w:after="120"/>
              <w:rPr>
                <w:sz w:val="14"/>
                <w:szCs w:val="14"/>
              </w:rPr>
            </w:pPr>
            <w:r w:rsidRPr="00287566">
              <w:rPr>
                <w:sz w:val="14"/>
                <w:szCs w:val="14"/>
              </w:rPr>
              <w:t>Yes</w:t>
            </w:r>
          </w:p>
        </w:tc>
      </w:tr>
    </w:tbl>
    <w:p w14:paraId="6D0D5685" w14:textId="77777777" w:rsidR="00C14663" w:rsidRPr="00E431A4" w:rsidRDefault="00C14663" w:rsidP="00975BFF">
      <w:pPr>
        <w:spacing w:line="276" w:lineRule="auto"/>
        <w:jc w:val="both"/>
        <w:rPr>
          <w:sz w:val="22"/>
          <w:szCs w:val="22"/>
        </w:rPr>
      </w:pPr>
    </w:p>
    <w:p w14:paraId="69901132" w14:textId="2742D998" w:rsidR="00C14663" w:rsidRPr="00E431A4" w:rsidRDefault="00C14663" w:rsidP="00975BFF">
      <w:pPr>
        <w:spacing w:line="276" w:lineRule="auto"/>
        <w:jc w:val="both"/>
        <w:rPr>
          <w:b/>
          <w:sz w:val="22"/>
          <w:szCs w:val="22"/>
        </w:rPr>
      </w:pPr>
      <w:r w:rsidRPr="00E431A4">
        <w:rPr>
          <w:b/>
          <w:sz w:val="22"/>
          <w:szCs w:val="22"/>
        </w:rPr>
        <w:t xml:space="preserve">Demarcating field trial plots and </w:t>
      </w:r>
      <w:r w:rsidR="0086431B">
        <w:rPr>
          <w:b/>
          <w:sz w:val="22"/>
          <w:szCs w:val="22"/>
        </w:rPr>
        <w:t>treatment group</w:t>
      </w:r>
      <w:r w:rsidRPr="00E431A4">
        <w:rPr>
          <w:b/>
          <w:sz w:val="22"/>
          <w:szCs w:val="22"/>
        </w:rPr>
        <w:t xml:space="preserve"> assignment</w:t>
      </w:r>
    </w:p>
    <w:p w14:paraId="78736B7A" w14:textId="0721FBB7" w:rsidR="002476D8" w:rsidRPr="006A3A56" w:rsidRDefault="005358DA" w:rsidP="00975BFF">
      <w:pPr>
        <w:spacing w:line="276" w:lineRule="auto"/>
        <w:jc w:val="both"/>
        <w:rPr>
          <w:sz w:val="22"/>
          <w:szCs w:val="22"/>
        </w:rPr>
      </w:pPr>
      <w:r w:rsidRPr="00E431A4">
        <w:rPr>
          <w:sz w:val="22"/>
          <w:szCs w:val="22"/>
        </w:rPr>
        <w:t xml:space="preserve">Following desk-based assessment and </w:t>
      </w:r>
      <w:r w:rsidRPr="00E431A4">
        <w:rPr>
          <w:bCs/>
          <w:color w:val="000000" w:themeColor="text1"/>
          <w:sz w:val="22"/>
          <w:szCs w:val="22"/>
          <w:lang w:eastAsia="ja-JP"/>
        </w:rPr>
        <w:t>pre-</w:t>
      </w:r>
      <w:r w:rsidR="000A6B4A" w:rsidRPr="00E431A4">
        <w:rPr>
          <w:bCs/>
          <w:color w:val="000000" w:themeColor="text1"/>
          <w:sz w:val="22"/>
          <w:szCs w:val="22"/>
          <w:lang w:eastAsia="ja-JP"/>
        </w:rPr>
        <w:t>experiment</w:t>
      </w:r>
      <w:r w:rsidRPr="00E431A4">
        <w:rPr>
          <w:bCs/>
          <w:color w:val="000000" w:themeColor="text1"/>
          <w:sz w:val="22"/>
          <w:szCs w:val="22"/>
          <w:lang w:eastAsia="ja-JP"/>
        </w:rPr>
        <w:t xml:space="preserve"> </w:t>
      </w:r>
      <w:r w:rsidRPr="00E431A4">
        <w:rPr>
          <w:sz w:val="22"/>
          <w:szCs w:val="22"/>
        </w:rPr>
        <w:t xml:space="preserve">onsite </w:t>
      </w:r>
      <w:r w:rsidRPr="00E431A4">
        <w:rPr>
          <w:bCs/>
          <w:color w:val="000000" w:themeColor="text1"/>
          <w:sz w:val="22"/>
          <w:szCs w:val="22"/>
          <w:lang w:eastAsia="ja-JP"/>
        </w:rPr>
        <w:t>investigations</w:t>
      </w:r>
      <w:r w:rsidRPr="00E431A4">
        <w:rPr>
          <w:sz w:val="22"/>
          <w:szCs w:val="22"/>
        </w:rPr>
        <w:t>, fie</w:t>
      </w:r>
      <w:r w:rsidR="00BD7F9B" w:rsidRPr="00E431A4">
        <w:rPr>
          <w:sz w:val="22"/>
          <w:szCs w:val="22"/>
        </w:rPr>
        <w:t>ld trial</w:t>
      </w:r>
      <w:r w:rsidR="00AD0132" w:rsidRPr="00E431A4">
        <w:rPr>
          <w:sz w:val="22"/>
          <w:szCs w:val="22"/>
        </w:rPr>
        <w:t xml:space="preserve"> </w:t>
      </w:r>
      <w:r w:rsidR="00BD7F9B" w:rsidRPr="00E431A4">
        <w:rPr>
          <w:sz w:val="22"/>
          <w:szCs w:val="22"/>
        </w:rPr>
        <w:t xml:space="preserve">plots were </w:t>
      </w:r>
      <w:r w:rsidR="00E2442E" w:rsidRPr="00E431A4">
        <w:rPr>
          <w:sz w:val="22"/>
          <w:szCs w:val="22"/>
        </w:rPr>
        <w:t>delineated,</w:t>
      </w:r>
      <w:r w:rsidR="00BD7F9B" w:rsidRPr="00E431A4">
        <w:rPr>
          <w:sz w:val="22"/>
          <w:szCs w:val="22"/>
        </w:rPr>
        <w:t xml:space="preserve"> </w:t>
      </w:r>
      <w:r w:rsidR="00AD0132" w:rsidRPr="00E431A4">
        <w:rPr>
          <w:sz w:val="22"/>
          <w:szCs w:val="22"/>
        </w:rPr>
        <w:t xml:space="preserve">and </w:t>
      </w:r>
      <w:r w:rsidR="0086431B" w:rsidRPr="0086431B">
        <w:rPr>
          <w:sz w:val="22"/>
          <w:szCs w:val="22"/>
        </w:rPr>
        <w:t>treatment group</w:t>
      </w:r>
      <w:r w:rsidR="0086431B">
        <w:rPr>
          <w:sz w:val="22"/>
          <w:szCs w:val="22"/>
        </w:rPr>
        <w:t>s</w:t>
      </w:r>
      <w:r w:rsidR="0086431B" w:rsidRPr="0086431B">
        <w:rPr>
          <w:sz w:val="22"/>
          <w:szCs w:val="22"/>
        </w:rPr>
        <w:t xml:space="preserve"> </w:t>
      </w:r>
      <w:r w:rsidR="00AD0132" w:rsidRPr="00E431A4">
        <w:rPr>
          <w:sz w:val="22"/>
          <w:szCs w:val="22"/>
        </w:rPr>
        <w:t>assigned</w:t>
      </w:r>
      <w:r w:rsidR="002476D8" w:rsidRPr="00E431A4">
        <w:rPr>
          <w:sz w:val="22"/>
          <w:szCs w:val="22"/>
        </w:rPr>
        <w:t xml:space="preserve"> based </w:t>
      </w:r>
      <w:r w:rsidR="00631D02" w:rsidRPr="00E431A4">
        <w:rPr>
          <w:sz w:val="22"/>
          <w:szCs w:val="22"/>
        </w:rPr>
        <w:t>up</w:t>
      </w:r>
      <w:r w:rsidR="002476D8" w:rsidRPr="00E431A4">
        <w:rPr>
          <w:sz w:val="22"/>
          <w:szCs w:val="22"/>
        </w:rPr>
        <w:t xml:space="preserve">on </w:t>
      </w:r>
      <w:r w:rsidR="00631D02" w:rsidRPr="00E431A4">
        <w:rPr>
          <w:sz w:val="22"/>
          <w:szCs w:val="22"/>
        </w:rPr>
        <w:t>proximity to water, conservation designations and accessibility</w:t>
      </w:r>
      <w:r w:rsidR="00BD7F9B" w:rsidRPr="00E431A4">
        <w:rPr>
          <w:sz w:val="22"/>
          <w:szCs w:val="22"/>
        </w:rPr>
        <w:t>.</w:t>
      </w:r>
    </w:p>
    <w:sectPr w:rsidR="002476D8" w:rsidRPr="006A3A56" w:rsidSect="001C4706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1F25" w14:textId="77777777" w:rsidR="00D351DD" w:rsidRDefault="00D351DD">
      <w:r>
        <w:separator/>
      </w:r>
    </w:p>
  </w:endnote>
  <w:endnote w:type="continuationSeparator" w:id="0">
    <w:p w14:paraId="25A2E723" w14:textId="77777777" w:rsidR="00D351DD" w:rsidRDefault="00D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AE69" w14:textId="77777777" w:rsidR="00FF1777" w:rsidRDefault="00FF1777" w:rsidP="00E94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A00E3CF" w14:textId="77777777" w:rsidR="00FF1777" w:rsidRDefault="00D351DD" w:rsidP="00AF0834">
    <w:pPr>
      <w:pStyle w:val="Footer"/>
      <w:ind w:right="360"/>
    </w:pPr>
    <w:sdt>
      <w:sdtPr>
        <w:id w:val="1904028811"/>
        <w:temporary/>
        <w:showingPlcHdr/>
      </w:sdtPr>
      <w:sdtEndPr/>
      <w:sdtContent>
        <w:r w:rsidR="00FF1777">
          <w:t>[Type text]</w:t>
        </w:r>
      </w:sdtContent>
    </w:sdt>
    <w:r w:rsidR="00FF1777">
      <w:ptab w:relativeTo="margin" w:alignment="center" w:leader="none"/>
    </w:r>
    <w:sdt>
      <w:sdtPr>
        <w:id w:val="246469053"/>
        <w:temporary/>
        <w:showingPlcHdr/>
      </w:sdtPr>
      <w:sdtEndPr/>
      <w:sdtContent>
        <w:r w:rsidR="00FF1777">
          <w:t>[Type text]</w:t>
        </w:r>
      </w:sdtContent>
    </w:sdt>
    <w:r w:rsidR="00FF1777">
      <w:ptab w:relativeTo="margin" w:alignment="right" w:leader="none"/>
    </w:r>
    <w:sdt>
      <w:sdtPr>
        <w:id w:val="-1358272484"/>
        <w:temporary/>
        <w:showingPlcHdr/>
      </w:sdtPr>
      <w:sdtEndPr/>
      <w:sdtContent>
        <w:r w:rsidR="00FF17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7390" w14:textId="77777777" w:rsidR="00FF1777" w:rsidRPr="00E94528" w:rsidRDefault="00FF1777" w:rsidP="00FF177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94528">
      <w:rPr>
        <w:rStyle w:val="PageNumber"/>
        <w:sz w:val="22"/>
        <w:szCs w:val="22"/>
      </w:rPr>
      <w:fldChar w:fldCharType="begin"/>
    </w:r>
    <w:r w:rsidRPr="00E94528">
      <w:rPr>
        <w:rStyle w:val="PageNumber"/>
        <w:sz w:val="22"/>
        <w:szCs w:val="22"/>
      </w:rPr>
      <w:instrText xml:space="preserve">PAGE  </w:instrText>
    </w:r>
    <w:r w:rsidRPr="00E94528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E94528">
      <w:rPr>
        <w:rStyle w:val="PageNumber"/>
        <w:sz w:val="22"/>
        <w:szCs w:val="22"/>
      </w:rPr>
      <w:fldChar w:fldCharType="end"/>
    </w:r>
  </w:p>
  <w:p w14:paraId="7F5421E4" w14:textId="4C3446BC" w:rsidR="00FF1777" w:rsidRPr="00B610A7" w:rsidRDefault="00FF1777" w:rsidP="00AF0834">
    <w:pPr>
      <w:pStyle w:val="Footer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2419" w14:textId="77777777" w:rsidR="00D351DD" w:rsidRDefault="00D351DD">
      <w:r>
        <w:separator/>
      </w:r>
    </w:p>
  </w:footnote>
  <w:footnote w:type="continuationSeparator" w:id="0">
    <w:p w14:paraId="79EEA83E" w14:textId="77777777" w:rsidR="00D351DD" w:rsidRDefault="00D3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0E5B7E"/>
    <w:multiLevelType w:val="hybridMultilevel"/>
    <w:tmpl w:val="52F2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A447B"/>
    <w:multiLevelType w:val="hybridMultilevel"/>
    <w:tmpl w:val="B2502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A281B"/>
    <w:multiLevelType w:val="hybridMultilevel"/>
    <w:tmpl w:val="BA4C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258AC"/>
    <w:multiLevelType w:val="hybridMultilevel"/>
    <w:tmpl w:val="739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634DA"/>
    <w:multiLevelType w:val="hybridMultilevel"/>
    <w:tmpl w:val="A742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4AA0"/>
    <w:multiLevelType w:val="hybridMultilevel"/>
    <w:tmpl w:val="52F2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6776"/>
    <w:multiLevelType w:val="hybridMultilevel"/>
    <w:tmpl w:val="5C7C6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7AD3"/>
    <w:multiLevelType w:val="hybridMultilevel"/>
    <w:tmpl w:val="8E84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0A0A"/>
    <w:multiLevelType w:val="multilevel"/>
    <w:tmpl w:val="8E84D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796C"/>
    <w:multiLevelType w:val="hybridMultilevel"/>
    <w:tmpl w:val="A742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7EFA"/>
    <w:multiLevelType w:val="hybridMultilevel"/>
    <w:tmpl w:val="027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F0DDC"/>
    <w:multiLevelType w:val="hybridMultilevel"/>
    <w:tmpl w:val="C98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828CD"/>
    <w:multiLevelType w:val="hybridMultilevel"/>
    <w:tmpl w:val="739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19E"/>
    <w:multiLevelType w:val="hybridMultilevel"/>
    <w:tmpl w:val="790AD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D81"/>
    <w:multiLevelType w:val="hybridMultilevel"/>
    <w:tmpl w:val="16FA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B0FA0"/>
    <w:multiLevelType w:val="multilevel"/>
    <w:tmpl w:val="739A5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0D36"/>
    <w:multiLevelType w:val="hybridMultilevel"/>
    <w:tmpl w:val="16FA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51B9B"/>
    <w:multiLevelType w:val="hybridMultilevel"/>
    <w:tmpl w:val="739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67C8"/>
    <w:multiLevelType w:val="hybridMultilevel"/>
    <w:tmpl w:val="739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20E"/>
    <w:multiLevelType w:val="hybridMultilevel"/>
    <w:tmpl w:val="96B0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227BA"/>
    <w:multiLevelType w:val="multilevel"/>
    <w:tmpl w:val="739A5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5418"/>
    <w:multiLevelType w:val="hybridMultilevel"/>
    <w:tmpl w:val="C74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8236">
    <w:abstractNumId w:val="0"/>
  </w:num>
  <w:num w:numId="2" w16cid:durableId="1580209774">
    <w:abstractNumId w:val="1"/>
  </w:num>
  <w:num w:numId="3" w16cid:durableId="2021394457">
    <w:abstractNumId w:val="2"/>
  </w:num>
  <w:num w:numId="4" w16cid:durableId="470945689">
    <w:abstractNumId w:val="15"/>
  </w:num>
  <w:num w:numId="5" w16cid:durableId="1343505491">
    <w:abstractNumId w:val="26"/>
  </w:num>
  <w:num w:numId="6" w16cid:durableId="388572471">
    <w:abstractNumId w:val="23"/>
  </w:num>
  <w:num w:numId="7" w16cid:durableId="212279433">
    <w:abstractNumId w:val="29"/>
  </w:num>
  <w:num w:numId="8" w16cid:durableId="242956095">
    <w:abstractNumId w:val="20"/>
  </w:num>
  <w:num w:numId="9" w16cid:durableId="696468942">
    <w:abstractNumId w:val="28"/>
  </w:num>
  <w:num w:numId="10" w16cid:durableId="340862480">
    <w:abstractNumId w:val="17"/>
  </w:num>
  <w:num w:numId="11" w16cid:durableId="778573721">
    <w:abstractNumId w:val="14"/>
  </w:num>
  <w:num w:numId="12" w16cid:durableId="2102944981">
    <w:abstractNumId w:val="16"/>
  </w:num>
  <w:num w:numId="13" w16cid:durableId="453255973">
    <w:abstractNumId w:val="12"/>
  </w:num>
  <w:num w:numId="14" w16cid:durableId="1731885178">
    <w:abstractNumId w:val="19"/>
  </w:num>
  <w:num w:numId="15" w16cid:durableId="2076007907">
    <w:abstractNumId w:val="22"/>
  </w:num>
  <w:num w:numId="16" w16cid:durableId="1683164529">
    <w:abstractNumId w:val="25"/>
  </w:num>
  <w:num w:numId="17" w16cid:durableId="1015695267">
    <w:abstractNumId w:val="30"/>
  </w:num>
  <w:num w:numId="18" w16cid:durableId="1923175736">
    <w:abstractNumId w:val="27"/>
  </w:num>
  <w:num w:numId="19" w16cid:durableId="1749111017">
    <w:abstractNumId w:val="18"/>
  </w:num>
  <w:num w:numId="20" w16cid:durableId="544030683">
    <w:abstractNumId w:val="10"/>
  </w:num>
  <w:num w:numId="21" w16cid:durableId="1281229618">
    <w:abstractNumId w:val="11"/>
  </w:num>
  <w:num w:numId="22" w16cid:durableId="76708307">
    <w:abstractNumId w:val="21"/>
  </w:num>
  <w:num w:numId="23" w16cid:durableId="2046564602">
    <w:abstractNumId w:val="13"/>
  </w:num>
  <w:num w:numId="24" w16cid:durableId="1154374565">
    <w:abstractNumId w:val="31"/>
  </w:num>
  <w:num w:numId="25" w16cid:durableId="1281765502">
    <w:abstractNumId w:val="24"/>
  </w:num>
  <w:num w:numId="26" w16cid:durableId="103617311">
    <w:abstractNumId w:val="3"/>
  </w:num>
  <w:num w:numId="27" w16cid:durableId="1120224650">
    <w:abstractNumId w:val="4"/>
  </w:num>
  <w:num w:numId="28" w16cid:durableId="1462456331">
    <w:abstractNumId w:val="5"/>
  </w:num>
  <w:num w:numId="29" w16cid:durableId="1696418962">
    <w:abstractNumId w:val="6"/>
  </w:num>
  <w:num w:numId="30" w16cid:durableId="307367069">
    <w:abstractNumId w:val="7"/>
  </w:num>
  <w:num w:numId="31" w16cid:durableId="1800220399">
    <w:abstractNumId w:val="8"/>
  </w:num>
  <w:num w:numId="32" w16cid:durableId="1453286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C0"/>
    <w:rsid w:val="00017905"/>
    <w:rsid w:val="00025FE8"/>
    <w:rsid w:val="000277BD"/>
    <w:rsid w:val="00041076"/>
    <w:rsid w:val="00056115"/>
    <w:rsid w:val="00057333"/>
    <w:rsid w:val="00063F11"/>
    <w:rsid w:val="00077D68"/>
    <w:rsid w:val="00082014"/>
    <w:rsid w:val="00086597"/>
    <w:rsid w:val="000919D9"/>
    <w:rsid w:val="000A0224"/>
    <w:rsid w:val="000A0C5A"/>
    <w:rsid w:val="000A2AB2"/>
    <w:rsid w:val="000A6B4A"/>
    <w:rsid w:val="000B58CE"/>
    <w:rsid w:val="000B5A9C"/>
    <w:rsid w:val="000C31F6"/>
    <w:rsid w:val="000C5984"/>
    <w:rsid w:val="000D3EC8"/>
    <w:rsid w:val="000D4C46"/>
    <w:rsid w:val="000D638F"/>
    <w:rsid w:val="000F7636"/>
    <w:rsid w:val="00106D02"/>
    <w:rsid w:val="00110866"/>
    <w:rsid w:val="001172A7"/>
    <w:rsid w:val="00136864"/>
    <w:rsid w:val="001405DE"/>
    <w:rsid w:val="00145109"/>
    <w:rsid w:val="00146592"/>
    <w:rsid w:val="00152FEF"/>
    <w:rsid w:val="0015353F"/>
    <w:rsid w:val="00155792"/>
    <w:rsid w:val="00155AA0"/>
    <w:rsid w:val="00156468"/>
    <w:rsid w:val="00157EC0"/>
    <w:rsid w:val="00164F0A"/>
    <w:rsid w:val="001657D0"/>
    <w:rsid w:val="00184E09"/>
    <w:rsid w:val="001A424E"/>
    <w:rsid w:val="001C4706"/>
    <w:rsid w:val="001C6EA8"/>
    <w:rsid w:val="002037EF"/>
    <w:rsid w:val="00205E1B"/>
    <w:rsid w:val="00225B87"/>
    <w:rsid w:val="00225EAA"/>
    <w:rsid w:val="00226EC4"/>
    <w:rsid w:val="00244695"/>
    <w:rsid w:val="002476D8"/>
    <w:rsid w:val="0025196D"/>
    <w:rsid w:val="00257C24"/>
    <w:rsid w:val="00264BA8"/>
    <w:rsid w:val="00270AAD"/>
    <w:rsid w:val="00277DAC"/>
    <w:rsid w:val="002817CA"/>
    <w:rsid w:val="002827A6"/>
    <w:rsid w:val="0028587F"/>
    <w:rsid w:val="0029322F"/>
    <w:rsid w:val="002B4EBE"/>
    <w:rsid w:val="002B758C"/>
    <w:rsid w:val="002D4FDF"/>
    <w:rsid w:val="002D53B2"/>
    <w:rsid w:val="002D7EE9"/>
    <w:rsid w:val="002E0625"/>
    <w:rsid w:val="002E0E80"/>
    <w:rsid w:val="002E7705"/>
    <w:rsid w:val="002F1179"/>
    <w:rsid w:val="002F1756"/>
    <w:rsid w:val="002F4DAD"/>
    <w:rsid w:val="00303C1E"/>
    <w:rsid w:val="00307326"/>
    <w:rsid w:val="003126F8"/>
    <w:rsid w:val="00316A6E"/>
    <w:rsid w:val="003249AC"/>
    <w:rsid w:val="00327CD3"/>
    <w:rsid w:val="003337A8"/>
    <w:rsid w:val="00335BBE"/>
    <w:rsid w:val="0034702D"/>
    <w:rsid w:val="003502F0"/>
    <w:rsid w:val="00354EA2"/>
    <w:rsid w:val="00357113"/>
    <w:rsid w:val="003625E9"/>
    <w:rsid w:val="0036714C"/>
    <w:rsid w:val="00374F03"/>
    <w:rsid w:val="0037797E"/>
    <w:rsid w:val="003857F2"/>
    <w:rsid w:val="00386F6B"/>
    <w:rsid w:val="00397463"/>
    <w:rsid w:val="003A16E3"/>
    <w:rsid w:val="003B6229"/>
    <w:rsid w:val="003C5470"/>
    <w:rsid w:val="003D3277"/>
    <w:rsid w:val="003D4BF2"/>
    <w:rsid w:val="003D7D83"/>
    <w:rsid w:val="003E4625"/>
    <w:rsid w:val="003E779A"/>
    <w:rsid w:val="003F7C34"/>
    <w:rsid w:val="00400835"/>
    <w:rsid w:val="004029E1"/>
    <w:rsid w:val="00420876"/>
    <w:rsid w:val="00421483"/>
    <w:rsid w:val="00425B7F"/>
    <w:rsid w:val="00433072"/>
    <w:rsid w:val="004421D7"/>
    <w:rsid w:val="004455AC"/>
    <w:rsid w:val="00446F29"/>
    <w:rsid w:val="004544D1"/>
    <w:rsid w:val="00454AEA"/>
    <w:rsid w:val="004576A6"/>
    <w:rsid w:val="0047150E"/>
    <w:rsid w:val="00495991"/>
    <w:rsid w:val="004A4E8C"/>
    <w:rsid w:val="004D0235"/>
    <w:rsid w:val="004D1974"/>
    <w:rsid w:val="004D388C"/>
    <w:rsid w:val="004D4AA0"/>
    <w:rsid w:val="004D5477"/>
    <w:rsid w:val="004E0004"/>
    <w:rsid w:val="004E2645"/>
    <w:rsid w:val="004E48AD"/>
    <w:rsid w:val="004F633F"/>
    <w:rsid w:val="004F7582"/>
    <w:rsid w:val="005078D1"/>
    <w:rsid w:val="00515F51"/>
    <w:rsid w:val="00516077"/>
    <w:rsid w:val="0052253D"/>
    <w:rsid w:val="00526312"/>
    <w:rsid w:val="00526492"/>
    <w:rsid w:val="00527231"/>
    <w:rsid w:val="005358DA"/>
    <w:rsid w:val="005408B1"/>
    <w:rsid w:val="00557A94"/>
    <w:rsid w:val="00563B49"/>
    <w:rsid w:val="00575A39"/>
    <w:rsid w:val="00583464"/>
    <w:rsid w:val="00591E1B"/>
    <w:rsid w:val="005953DB"/>
    <w:rsid w:val="005A455B"/>
    <w:rsid w:val="005A4DEC"/>
    <w:rsid w:val="005B0B61"/>
    <w:rsid w:val="005B4FD1"/>
    <w:rsid w:val="005B5E43"/>
    <w:rsid w:val="005C0C29"/>
    <w:rsid w:val="005C4C06"/>
    <w:rsid w:val="005C5A55"/>
    <w:rsid w:val="005C7BF9"/>
    <w:rsid w:val="005D45AB"/>
    <w:rsid w:val="005D5A1E"/>
    <w:rsid w:val="005E5B73"/>
    <w:rsid w:val="00631D02"/>
    <w:rsid w:val="006326D6"/>
    <w:rsid w:val="00640B91"/>
    <w:rsid w:val="00652CAE"/>
    <w:rsid w:val="006577A2"/>
    <w:rsid w:val="00674513"/>
    <w:rsid w:val="00682182"/>
    <w:rsid w:val="00695DAB"/>
    <w:rsid w:val="006A3A56"/>
    <w:rsid w:val="006A3AD9"/>
    <w:rsid w:val="006A78A0"/>
    <w:rsid w:val="006B39C1"/>
    <w:rsid w:val="006C65D4"/>
    <w:rsid w:val="006D28FD"/>
    <w:rsid w:val="006D4246"/>
    <w:rsid w:val="006E2E2B"/>
    <w:rsid w:val="006F01B3"/>
    <w:rsid w:val="006F04FB"/>
    <w:rsid w:val="006F2CE5"/>
    <w:rsid w:val="00706EA1"/>
    <w:rsid w:val="0070742C"/>
    <w:rsid w:val="00710707"/>
    <w:rsid w:val="00734CA4"/>
    <w:rsid w:val="00735545"/>
    <w:rsid w:val="00736910"/>
    <w:rsid w:val="00752403"/>
    <w:rsid w:val="00755291"/>
    <w:rsid w:val="00766CED"/>
    <w:rsid w:val="0078697E"/>
    <w:rsid w:val="00787CF4"/>
    <w:rsid w:val="00794B6C"/>
    <w:rsid w:val="00795C83"/>
    <w:rsid w:val="007B0E6F"/>
    <w:rsid w:val="007C2063"/>
    <w:rsid w:val="007C26BC"/>
    <w:rsid w:val="007C3C20"/>
    <w:rsid w:val="007D17A4"/>
    <w:rsid w:val="007D2EE4"/>
    <w:rsid w:val="007D6241"/>
    <w:rsid w:val="007D6314"/>
    <w:rsid w:val="007E2995"/>
    <w:rsid w:val="007E547D"/>
    <w:rsid w:val="007E5849"/>
    <w:rsid w:val="007F290B"/>
    <w:rsid w:val="007F4849"/>
    <w:rsid w:val="007F7FAA"/>
    <w:rsid w:val="00806667"/>
    <w:rsid w:val="0081530C"/>
    <w:rsid w:val="008178E4"/>
    <w:rsid w:val="00820F92"/>
    <w:rsid w:val="00821ECE"/>
    <w:rsid w:val="00824308"/>
    <w:rsid w:val="008252BE"/>
    <w:rsid w:val="008471BF"/>
    <w:rsid w:val="00851FFA"/>
    <w:rsid w:val="008564F4"/>
    <w:rsid w:val="0086431B"/>
    <w:rsid w:val="00864D30"/>
    <w:rsid w:val="00876365"/>
    <w:rsid w:val="00881479"/>
    <w:rsid w:val="008839DD"/>
    <w:rsid w:val="00892462"/>
    <w:rsid w:val="008954E2"/>
    <w:rsid w:val="008A6093"/>
    <w:rsid w:val="008B2818"/>
    <w:rsid w:val="008B5933"/>
    <w:rsid w:val="008C2F54"/>
    <w:rsid w:val="008C3B7D"/>
    <w:rsid w:val="008D5C28"/>
    <w:rsid w:val="00901D53"/>
    <w:rsid w:val="00903358"/>
    <w:rsid w:val="00910B3B"/>
    <w:rsid w:val="00911D70"/>
    <w:rsid w:val="00915442"/>
    <w:rsid w:val="00916888"/>
    <w:rsid w:val="00917172"/>
    <w:rsid w:val="00930E63"/>
    <w:rsid w:val="0093581E"/>
    <w:rsid w:val="00935FF0"/>
    <w:rsid w:val="00941A4D"/>
    <w:rsid w:val="00963512"/>
    <w:rsid w:val="00970298"/>
    <w:rsid w:val="00975BFF"/>
    <w:rsid w:val="00983825"/>
    <w:rsid w:val="0098501D"/>
    <w:rsid w:val="0098746C"/>
    <w:rsid w:val="0099286E"/>
    <w:rsid w:val="009A3193"/>
    <w:rsid w:val="009A58B2"/>
    <w:rsid w:val="009B2D18"/>
    <w:rsid w:val="009C07A5"/>
    <w:rsid w:val="009C1131"/>
    <w:rsid w:val="009D6BAF"/>
    <w:rsid w:val="009F6D05"/>
    <w:rsid w:val="00A02881"/>
    <w:rsid w:val="00A14190"/>
    <w:rsid w:val="00A16983"/>
    <w:rsid w:val="00A16B29"/>
    <w:rsid w:val="00A17C53"/>
    <w:rsid w:val="00A218B7"/>
    <w:rsid w:val="00A32273"/>
    <w:rsid w:val="00A354A2"/>
    <w:rsid w:val="00A3571E"/>
    <w:rsid w:val="00A41AB5"/>
    <w:rsid w:val="00A41CCE"/>
    <w:rsid w:val="00A4525A"/>
    <w:rsid w:val="00A45803"/>
    <w:rsid w:val="00A53C7C"/>
    <w:rsid w:val="00A56F9F"/>
    <w:rsid w:val="00A57A79"/>
    <w:rsid w:val="00A709CB"/>
    <w:rsid w:val="00A715B7"/>
    <w:rsid w:val="00A74994"/>
    <w:rsid w:val="00A8721E"/>
    <w:rsid w:val="00AA09FB"/>
    <w:rsid w:val="00AA4467"/>
    <w:rsid w:val="00AB1415"/>
    <w:rsid w:val="00AB4D94"/>
    <w:rsid w:val="00AB4F8B"/>
    <w:rsid w:val="00AB6B93"/>
    <w:rsid w:val="00AC4B9C"/>
    <w:rsid w:val="00AC56B4"/>
    <w:rsid w:val="00AD0132"/>
    <w:rsid w:val="00AD2AC5"/>
    <w:rsid w:val="00AD5FC0"/>
    <w:rsid w:val="00AE4D71"/>
    <w:rsid w:val="00AE5533"/>
    <w:rsid w:val="00AE670C"/>
    <w:rsid w:val="00AF0834"/>
    <w:rsid w:val="00AF599D"/>
    <w:rsid w:val="00B06205"/>
    <w:rsid w:val="00B14F95"/>
    <w:rsid w:val="00B22E35"/>
    <w:rsid w:val="00B2729D"/>
    <w:rsid w:val="00B301A5"/>
    <w:rsid w:val="00B3423B"/>
    <w:rsid w:val="00B364EB"/>
    <w:rsid w:val="00B47150"/>
    <w:rsid w:val="00B56ECF"/>
    <w:rsid w:val="00B62CAC"/>
    <w:rsid w:val="00B74EFF"/>
    <w:rsid w:val="00B764F5"/>
    <w:rsid w:val="00B8581D"/>
    <w:rsid w:val="00B871B4"/>
    <w:rsid w:val="00B97003"/>
    <w:rsid w:val="00BA5B2C"/>
    <w:rsid w:val="00BB1C4F"/>
    <w:rsid w:val="00BB45EE"/>
    <w:rsid w:val="00BB50B0"/>
    <w:rsid w:val="00BB65A0"/>
    <w:rsid w:val="00BB7D02"/>
    <w:rsid w:val="00BC076D"/>
    <w:rsid w:val="00BC6294"/>
    <w:rsid w:val="00BD10F6"/>
    <w:rsid w:val="00BD3191"/>
    <w:rsid w:val="00BD716B"/>
    <w:rsid w:val="00BD7D72"/>
    <w:rsid w:val="00BD7F9B"/>
    <w:rsid w:val="00BE35C7"/>
    <w:rsid w:val="00C0172B"/>
    <w:rsid w:val="00C031F9"/>
    <w:rsid w:val="00C14663"/>
    <w:rsid w:val="00C22616"/>
    <w:rsid w:val="00C25B9E"/>
    <w:rsid w:val="00C27891"/>
    <w:rsid w:val="00C33901"/>
    <w:rsid w:val="00C36E32"/>
    <w:rsid w:val="00C510B8"/>
    <w:rsid w:val="00C54268"/>
    <w:rsid w:val="00C56813"/>
    <w:rsid w:val="00C56F15"/>
    <w:rsid w:val="00C60C93"/>
    <w:rsid w:val="00C61D64"/>
    <w:rsid w:val="00C63E2D"/>
    <w:rsid w:val="00C65382"/>
    <w:rsid w:val="00C659E6"/>
    <w:rsid w:val="00C701C0"/>
    <w:rsid w:val="00C7529B"/>
    <w:rsid w:val="00C81348"/>
    <w:rsid w:val="00C84AC4"/>
    <w:rsid w:val="00C8661B"/>
    <w:rsid w:val="00CA501C"/>
    <w:rsid w:val="00CB00AA"/>
    <w:rsid w:val="00CB2A5D"/>
    <w:rsid w:val="00CB7380"/>
    <w:rsid w:val="00CC538E"/>
    <w:rsid w:val="00CD1F0F"/>
    <w:rsid w:val="00CD2602"/>
    <w:rsid w:val="00CD596E"/>
    <w:rsid w:val="00CD5AF3"/>
    <w:rsid w:val="00CE5F51"/>
    <w:rsid w:val="00CF0250"/>
    <w:rsid w:val="00CF4908"/>
    <w:rsid w:val="00D030E2"/>
    <w:rsid w:val="00D03F49"/>
    <w:rsid w:val="00D10F3E"/>
    <w:rsid w:val="00D21382"/>
    <w:rsid w:val="00D2151F"/>
    <w:rsid w:val="00D25A2B"/>
    <w:rsid w:val="00D324E7"/>
    <w:rsid w:val="00D351DD"/>
    <w:rsid w:val="00D44986"/>
    <w:rsid w:val="00D51F4A"/>
    <w:rsid w:val="00D56EB6"/>
    <w:rsid w:val="00D61677"/>
    <w:rsid w:val="00D77C60"/>
    <w:rsid w:val="00D8402D"/>
    <w:rsid w:val="00D92D4B"/>
    <w:rsid w:val="00D92E9B"/>
    <w:rsid w:val="00DA2D36"/>
    <w:rsid w:val="00DA4358"/>
    <w:rsid w:val="00DA5AD8"/>
    <w:rsid w:val="00DD1D28"/>
    <w:rsid w:val="00DE61EF"/>
    <w:rsid w:val="00DE6251"/>
    <w:rsid w:val="00DF75A7"/>
    <w:rsid w:val="00E02AE5"/>
    <w:rsid w:val="00E10BD4"/>
    <w:rsid w:val="00E11633"/>
    <w:rsid w:val="00E132AA"/>
    <w:rsid w:val="00E146E9"/>
    <w:rsid w:val="00E1679A"/>
    <w:rsid w:val="00E230E8"/>
    <w:rsid w:val="00E2442E"/>
    <w:rsid w:val="00E40EF0"/>
    <w:rsid w:val="00E4178C"/>
    <w:rsid w:val="00E42E20"/>
    <w:rsid w:val="00E431A4"/>
    <w:rsid w:val="00E4701C"/>
    <w:rsid w:val="00E53927"/>
    <w:rsid w:val="00E566E9"/>
    <w:rsid w:val="00E70D79"/>
    <w:rsid w:val="00E724E3"/>
    <w:rsid w:val="00E74BB3"/>
    <w:rsid w:val="00E77BB9"/>
    <w:rsid w:val="00E904ED"/>
    <w:rsid w:val="00E9061D"/>
    <w:rsid w:val="00E94528"/>
    <w:rsid w:val="00E94913"/>
    <w:rsid w:val="00EA13D4"/>
    <w:rsid w:val="00EB0C1C"/>
    <w:rsid w:val="00EC011B"/>
    <w:rsid w:val="00EC50DE"/>
    <w:rsid w:val="00EF1026"/>
    <w:rsid w:val="00EF54EC"/>
    <w:rsid w:val="00F11770"/>
    <w:rsid w:val="00F12054"/>
    <w:rsid w:val="00F20C1C"/>
    <w:rsid w:val="00F24A57"/>
    <w:rsid w:val="00F30966"/>
    <w:rsid w:val="00F51AE5"/>
    <w:rsid w:val="00F56943"/>
    <w:rsid w:val="00F60F05"/>
    <w:rsid w:val="00F75CFF"/>
    <w:rsid w:val="00F90365"/>
    <w:rsid w:val="00F95A77"/>
    <w:rsid w:val="00F95CC6"/>
    <w:rsid w:val="00F95CF9"/>
    <w:rsid w:val="00F96622"/>
    <w:rsid w:val="00FA11D5"/>
    <w:rsid w:val="00FB095A"/>
    <w:rsid w:val="00FB248A"/>
    <w:rsid w:val="00FB6129"/>
    <w:rsid w:val="00FC4C43"/>
    <w:rsid w:val="00FE0352"/>
    <w:rsid w:val="00FE0ED4"/>
    <w:rsid w:val="00FE695E"/>
    <w:rsid w:val="00FF1777"/>
    <w:rsid w:val="00FF2379"/>
    <w:rsid w:val="00FF2A62"/>
    <w:rsid w:val="00FF5431"/>
    <w:rsid w:val="00FF669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E0E90"/>
  <w14:defaultImageDpi w14:val="300"/>
  <w15:docId w15:val="{BB81B795-03B0-A94C-9EE2-F60CBFC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6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0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D5FC0"/>
    <w:pPr>
      <w:ind w:left="720"/>
      <w:contextualSpacing/>
    </w:pPr>
  </w:style>
  <w:style w:type="table" w:styleId="TableGrid">
    <w:name w:val="Table Grid"/>
    <w:basedOn w:val="TableNormal"/>
    <w:uiPriority w:val="39"/>
    <w:rsid w:val="00AD5FC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5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C0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5FC0"/>
  </w:style>
  <w:style w:type="paragraph" w:styleId="Header">
    <w:name w:val="header"/>
    <w:basedOn w:val="Normal"/>
    <w:link w:val="HeaderChar"/>
    <w:uiPriority w:val="99"/>
    <w:unhideWhenUsed/>
    <w:rsid w:val="00AD5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C0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D5F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5FC0"/>
    <w:rPr>
      <w:b/>
      <w:bCs/>
    </w:rPr>
  </w:style>
  <w:style w:type="paragraph" w:customStyle="1" w:styleId="Body">
    <w:name w:val="Body"/>
    <w:rsid w:val="00AD5FC0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FreeForm">
    <w:name w:val="Free Form"/>
    <w:rsid w:val="00AD5FC0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MISSN">
    <w:name w:val="M_ISSN"/>
    <w:basedOn w:val="Normal"/>
    <w:rsid w:val="0098746C"/>
    <w:pPr>
      <w:spacing w:after="520" w:line="340" w:lineRule="atLeast"/>
      <w:jc w:val="right"/>
    </w:pPr>
    <w:rPr>
      <w:rFonts w:eastAsia="Times New Roman"/>
      <w:color w:val="000000"/>
      <w:szCs w:val="20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98746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874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18</cp:revision>
  <cp:lastPrinted>2020-05-16T23:31:00Z</cp:lastPrinted>
  <dcterms:created xsi:type="dcterms:W3CDTF">2018-11-24T15:25:00Z</dcterms:created>
  <dcterms:modified xsi:type="dcterms:W3CDTF">2022-06-08T13:17:00Z</dcterms:modified>
</cp:coreProperties>
</file>